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EE07" w14:textId="33A0006F" w:rsidR="00696E60" w:rsidRDefault="00B56149" w:rsidP="00D56BB2">
      <w:pPr>
        <w:ind w:left="-90"/>
        <w:jc w:val="center"/>
      </w:pPr>
      <w:r>
        <w:rPr>
          <w:noProof/>
        </w:rPr>
        <w:drawing>
          <wp:inline distT="0" distB="0" distL="0" distR="0" wp14:anchorId="6E38C606" wp14:editId="71EEDDD8">
            <wp:extent cx="4648200" cy="2501242"/>
            <wp:effectExtent l="0" t="0" r="0" b="0"/>
            <wp:docPr id="1" name="Picture 1" descr="Decrative&#10;&#10;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crative&#10;&#10;Logo, company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0247" cy="2507725"/>
                    </a:xfrm>
                    <a:prstGeom prst="rect">
                      <a:avLst/>
                    </a:prstGeom>
                  </pic:spPr>
                </pic:pic>
              </a:graphicData>
            </a:graphic>
          </wp:inline>
        </w:drawing>
      </w:r>
    </w:p>
    <w:p w14:paraId="49381DF6" w14:textId="77777777" w:rsidR="0011382B" w:rsidRDefault="0011382B" w:rsidP="00021A30">
      <w:pPr>
        <w:pStyle w:val="Title"/>
        <w:ind w:left="-90"/>
        <w:jc w:val="center"/>
        <w:rPr>
          <w:sz w:val="44"/>
          <w:szCs w:val="44"/>
        </w:rPr>
      </w:pPr>
    </w:p>
    <w:p w14:paraId="68507F3F" w14:textId="77777777" w:rsidR="0011382B" w:rsidRDefault="0011382B" w:rsidP="00021A30">
      <w:pPr>
        <w:pStyle w:val="Title"/>
        <w:ind w:left="-90"/>
        <w:jc w:val="center"/>
        <w:rPr>
          <w:sz w:val="44"/>
          <w:szCs w:val="44"/>
        </w:rPr>
      </w:pPr>
    </w:p>
    <w:p w14:paraId="5A28483A" w14:textId="77777777" w:rsidR="0011382B" w:rsidRDefault="0011382B" w:rsidP="00021A30">
      <w:pPr>
        <w:pStyle w:val="Title"/>
        <w:ind w:left="-90"/>
        <w:jc w:val="center"/>
        <w:rPr>
          <w:sz w:val="44"/>
          <w:szCs w:val="44"/>
        </w:rPr>
      </w:pPr>
    </w:p>
    <w:p w14:paraId="53AD1867" w14:textId="3F3F44FA" w:rsidR="00570CA1" w:rsidRPr="00871743" w:rsidRDefault="002D1015" w:rsidP="00021A30">
      <w:pPr>
        <w:pStyle w:val="Title"/>
        <w:ind w:left="-90"/>
        <w:jc w:val="center"/>
        <w:rPr>
          <w:b/>
          <w:bCs/>
          <w:color w:val="auto"/>
          <w:sz w:val="44"/>
          <w:szCs w:val="44"/>
        </w:rPr>
      </w:pPr>
      <w:r w:rsidRPr="00871743">
        <w:rPr>
          <w:b/>
          <w:bCs/>
          <w:color w:val="auto"/>
          <w:sz w:val="44"/>
          <w:szCs w:val="44"/>
        </w:rPr>
        <w:t xml:space="preserve">The </w:t>
      </w:r>
      <w:r w:rsidR="00021A30" w:rsidRPr="00871743">
        <w:rPr>
          <w:b/>
          <w:bCs/>
          <w:color w:val="auto"/>
          <w:sz w:val="44"/>
          <w:szCs w:val="44"/>
        </w:rPr>
        <w:t>Forks</w:t>
      </w:r>
      <w:r w:rsidR="0033264B" w:rsidRPr="00871743">
        <w:rPr>
          <w:b/>
          <w:bCs/>
          <w:color w:val="auto"/>
          <w:sz w:val="44"/>
          <w:szCs w:val="44"/>
        </w:rPr>
        <w:t xml:space="preserve"> MPO</w:t>
      </w:r>
      <w:r w:rsidR="00021A30" w:rsidRPr="00871743">
        <w:rPr>
          <w:b/>
          <w:bCs/>
          <w:color w:val="auto"/>
          <w:sz w:val="44"/>
          <w:szCs w:val="44"/>
        </w:rPr>
        <w:t xml:space="preserve"> </w:t>
      </w:r>
      <w:r w:rsidR="00EF6482" w:rsidRPr="00871743">
        <w:rPr>
          <w:b/>
          <w:bCs/>
          <w:color w:val="auto"/>
          <w:sz w:val="44"/>
          <w:szCs w:val="44"/>
        </w:rPr>
        <w:t>2055 Metropolitan Transportation Plan and</w:t>
      </w:r>
      <w:r w:rsidR="00970A90" w:rsidRPr="00871743">
        <w:rPr>
          <w:b/>
          <w:bCs/>
          <w:color w:val="auto"/>
          <w:sz w:val="44"/>
          <w:szCs w:val="44"/>
        </w:rPr>
        <w:t xml:space="preserve"> Area Transit Development Plan Update</w:t>
      </w:r>
    </w:p>
    <w:p w14:paraId="60815C9E" w14:textId="5DCB0D16" w:rsidR="00570CA1" w:rsidRDefault="00570CA1" w:rsidP="00D56BB2">
      <w:pPr>
        <w:ind w:left="-90"/>
      </w:pPr>
    </w:p>
    <w:p w14:paraId="56F2E297" w14:textId="15D5D7D7" w:rsidR="00570CA1" w:rsidRDefault="00570CA1" w:rsidP="00D56BB2">
      <w:pPr>
        <w:ind w:left="-90"/>
      </w:pPr>
    </w:p>
    <w:p w14:paraId="47C61F88" w14:textId="16B488BD" w:rsidR="00130AAD" w:rsidRDefault="00130AAD" w:rsidP="00D56BB2">
      <w:pPr>
        <w:ind w:left="-90"/>
      </w:pPr>
    </w:p>
    <w:p w14:paraId="26EE7674" w14:textId="77777777" w:rsidR="00130AAD" w:rsidRDefault="00130AAD" w:rsidP="00D56BB2">
      <w:pPr>
        <w:ind w:left="-90"/>
      </w:pPr>
    </w:p>
    <w:p w14:paraId="4111B743" w14:textId="5FB06EFD" w:rsidR="00570CA1" w:rsidRDefault="00570CA1" w:rsidP="00D56BB2">
      <w:pPr>
        <w:ind w:left="-90"/>
      </w:pPr>
    </w:p>
    <w:p w14:paraId="0E9EBE19" w14:textId="7AEF84EB" w:rsidR="00570CA1" w:rsidRDefault="00570CA1" w:rsidP="00D56BB2">
      <w:pPr>
        <w:ind w:left="-90"/>
      </w:pPr>
    </w:p>
    <w:p w14:paraId="51CB2248" w14:textId="78EF082F" w:rsidR="00570CA1" w:rsidRDefault="00570CA1" w:rsidP="00D56BB2">
      <w:pPr>
        <w:ind w:left="-90"/>
      </w:pPr>
    </w:p>
    <w:p w14:paraId="0519DFB9" w14:textId="64A59337" w:rsidR="00570CA1" w:rsidRPr="00130AAD" w:rsidRDefault="00570CA1" w:rsidP="000B5794">
      <w:pPr>
        <w:pStyle w:val="BodyText"/>
        <w:ind w:left="-90"/>
        <w:jc w:val="center"/>
      </w:pPr>
      <w:r w:rsidRPr="00130AAD">
        <w:t xml:space="preserve">Request for </w:t>
      </w:r>
      <w:r w:rsidR="002077F4">
        <w:t>Proposals</w:t>
      </w:r>
      <w:r w:rsidR="00187C8C">
        <w:t xml:space="preserve"> (RFP)</w:t>
      </w:r>
    </w:p>
    <w:p w14:paraId="30869D94" w14:textId="4710E7CC" w:rsidR="00570CA1" w:rsidRPr="00130AAD" w:rsidRDefault="00130AAD" w:rsidP="000B5794">
      <w:pPr>
        <w:pStyle w:val="BodyText"/>
        <w:ind w:left="-90"/>
        <w:jc w:val="center"/>
      </w:pPr>
      <w:r>
        <w:t>f</w:t>
      </w:r>
      <w:r w:rsidR="00570CA1" w:rsidRPr="00130AAD">
        <w:t>or</w:t>
      </w:r>
    </w:p>
    <w:p w14:paraId="04F5C551" w14:textId="1AB8D157" w:rsidR="00570CA1" w:rsidRPr="00130AAD" w:rsidRDefault="00570CA1" w:rsidP="000B5794">
      <w:pPr>
        <w:pStyle w:val="BodyText"/>
        <w:ind w:left="-90"/>
        <w:jc w:val="center"/>
      </w:pPr>
      <w:r w:rsidRPr="00130AAD">
        <w:t>Transportation Planning Services</w:t>
      </w:r>
    </w:p>
    <w:p w14:paraId="3F43AAC2" w14:textId="21FA9824" w:rsidR="00570CA1" w:rsidRDefault="00570CA1" w:rsidP="00DD6983"/>
    <w:p w14:paraId="25AB5161" w14:textId="385DC7D6" w:rsidR="00570CA1" w:rsidRDefault="00570CA1" w:rsidP="00DD6983"/>
    <w:p w14:paraId="00C82F2B" w14:textId="1AC6309B" w:rsidR="00570CA1" w:rsidRDefault="00570CA1" w:rsidP="00234E9D">
      <w:pPr>
        <w:ind w:left="0"/>
      </w:pPr>
    </w:p>
    <w:p w14:paraId="404375B0" w14:textId="18DD3615" w:rsidR="00570CA1" w:rsidRDefault="00570CA1" w:rsidP="00234E9D">
      <w:pPr>
        <w:ind w:left="0"/>
      </w:pPr>
    </w:p>
    <w:p w14:paraId="797079B9" w14:textId="7E60787D" w:rsidR="00723FE4" w:rsidRDefault="00723FE4" w:rsidP="00234E9D">
      <w:pPr>
        <w:ind w:left="0"/>
      </w:pPr>
    </w:p>
    <w:p w14:paraId="55FB5EB3" w14:textId="276CECA5" w:rsidR="00130AAD" w:rsidRDefault="00130AAD" w:rsidP="00234E9D">
      <w:pPr>
        <w:ind w:left="0"/>
      </w:pPr>
    </w:p>
    <w:p w14:paraId="18BF33D6" w14:textId="7A344D90" w:rsidR="00130AAD" w:rsidRDefault="00130AAD" w:rsidP="00234E9D">
      <w:pPr>
        <w:ind w:left="0"/>
      </w:pPr>
    </w:p>
    <w:p w14:paraId="43908FB0" w14:textId="1BE52EE1" w:rsidR="00130AAD" w:rsidRDefault="00130AAD" w:rsidP="00234E9D">
      <w:pPr>
        <w:ind w:left="0"/>
      </w:pPr>
    </w:p>
    <w:p w14:paraId="42441C58" w14:textId="4A00350F" w:rsidR="00130AAD" w:rsidRDefault="00130AAD" w:rsidP="00234E9D">
      <w:pPr>
        <w:ind w:left="0"/>
      </w:pPr>
    </w:p>
    <w:p w14:paraId="78C52874" w14:textId="77777777" w:rsidR="00234E9D" w:rsidRDefault="00234E9D" w:rsidP="00234E9D">
      <w:pPr>
        <w:ind w:left="0"/>
      </w:pPr>
    </w:p>
    <w:p w14:paraId="0190E31A" w14:textId="77777777" w:rsidR="00234E9D" w:rsidRDefault="00234E9D" w:rsidP="00234E9D">
      <w:pPr>
        <w:ind w:left="0"/>
      </w:pPr>
    </w:p>
    <w:p w14:paraId="764BC077" w14:textId="77777777" w:rsidR="00234E9D" w:rsidRDefault="00234E9D" w:rsidP="00234E9D">
      <w:pPr>
        <w:ind w:left="0"/>
      </w:pPr>
    </w:p>
    <w:p w14:paraId="3E1BA61F" w14:textId="77777777" w:rsidR="005122EE" w:rsidRDefault="005122EE" w:rsidP="00234E9D">
      <w:pPr>
        <w:ind w:left="0"/>
      </w:pPr>
    </w:p>
    <w:p w14:paraId="1184B4D7" w14:textId="77777777" w:rsidR="005122EE" w:rsidRDefault="005122EE" w:rsidP="00234E9D">
      <w:pPr>
        <w:ind w:left="0"/>
      </w:pPr>
    </w:p>
    <w:p w14:paraId="5864C3FF" w14:textId="2CBFF75D" w:rsidR="00570CA1" w:rsidRDefault="00570CA1" w:rsidP="00234E9D">
      <w:pPr>
        <w:ind w:left="0"/>
      </w:pPr>
    </w:p>
    <w:p w14:paraId="74BAB4AD" w14:textId="52F708CA" w:rsidR="4C717F1A" w:rsidRDefault="00970A90" w:rsidP="000B5794">
      <w:pPr>
        <w:pStyle w:val="BodyText"/>
        <w:ind w:left="90"/>
        <w:jc w:val="center"/>
      </w:pPr>
      <w:r w:rsidRPr="00211E4C">
        <w:t>March 2026</w:t>
      </w:r>
    </w:p>
    <w:p w14:paraId="4C128329" w14:textId="2B49BDD7" w:rsidR="000B5794" w:rsidRPr="00E16873" w:rsidRDefault="000B5794" w:rsidP="00E16873">
      <w:pPr>
        <w:spacing w:after="120" w:line="264" w:lineRule="auto"/>
        <w:ind w:left="0"/>
        <w:rPr>
          <w:rFonts w:ascii="Calibri" w:eastAsia="Times New Roman" w:hAnsi="Calibri" w:cs="Times New Roman"/>
          <w:lang w:bidi="en-US"/>
        </w:rPr>
      </w:pPr>
    </w:p>
    <w:p w14:paraId="1E4358DE" w14:textId="04F15C41" w:rsidR="00D8480D" w:rsidRPr="00EB5975" w:rsidRDefault="00D8480D" w:rsidP="00EB5975">
      <w:pPr>
        <w:pStyle w:val="BodyText"/>
        <w:ind w:left="0"/>
        <w:jc w:val="center"/>
        <w:rPr>
          <w:b/>
          <w:bCs/>
        </w:rPr>
      </w:pPr>
      <w:r w:rsidRPr="00EB5975">
        <w:rPr>
          <w:b/>
          <w:bCs/>
        </w:rPr>
        <w:t xml:space="preserve">REQUEST FOR </w:t>
      </w:r>
      <w:r w:rsidR="002077F4" w:rsidRPr="00EB5975">
        <w:rPr>
          <w:b/>
          <w:bCs/>
        </w:rPr>
        <w:t>PROPOSALS</w:t>
      </w:r>
    </w:p>
    <w:p w14:paraId="18B51092" w14:textId="77777777" w:rsidR="00D8480D" w:rsidRPr="00EB5975" w:rsidRDefault="00D8480D" w:rsidP="00EB5975">
      <w:pPr>
        <w:pStyle w:val="BodyText"/>
        <w:ind w:left="0"/>
        <w:jc w:val="center"/>
        <w:rPr>
          <w:b/>
          <w:bCs/>
        </w:rPr>
      </w:pPr>
      <w:r w:rsidRPr="00EB5975">
        <w:rPr>
          <w:b/>
          <w:bCs/>
        </w:rPr>
        <w:t>FOR</w:t>
      </w:r>
    </w:p>
    <w:p w14:paraId="7549754C" w14:textId="4BEEFF1B" w:rsidR="00D8480D" w:rsidRPr="00EB5975" w:rsidRDefault="00D8480D" w:rsidP="00EB5975">
      <w:pPr>
        <w:pStyle w:val="BodyText"/>
        <w:ind w:left="0"/>
        <w:jc w:val="center"/>
        <w:rPr>
          <w:b/>
          <w:bCs/>
          <w:sz w:val="22"/>
          <w:szCs w:val="22"/>
        </w:rPr>
      </w:pPr>
      <w:r w:rsidRPr="00EB5975">
        <w:rPr>
          <w:b/>
          <w:bCs/>
        </w:rPr>
        <w:t>TRANSPORTATION PLANNING SERVICES</w:t>
      </w:r>
    </w:p>
    <w:p w14:paraId="2ABD826E" w14:textId="434184B6" w:rsidR="00D8480D" w:rsidRDefault="00D8480D" w:rsidP="005122EE">
      <w:pPr>
        <w:ind w:left="0"/>
        <w:rPr>
          <w:lang w:bidi="en-US"/>
        </w:rPr>
      </w:pPr>
    </w:p>
    <w:p w14:paraId="438D1049" w14:textId="77777777" w:rsidR="00D8480D" w:rsidRPr="00D8480D" w:rsidRDefault="00D8480D" w:rsidP="005122EE">
      <w:pPr>
        <w:ind w:left="0"/>
        <w:rPr>
          <w:lang w:bidi="en-US"/>
        </w:rPr>
      </w:pPr>
    </w:p>
    <w:p w14:paraId="69DA4267" w14:textId="4BFCFA0C" w:rsidR="00D8480D" w:rsidRPr="0095246E" w:rsidRDefault="00D8480D" w:rsidP="00483FFF">
      <w:pPr>
        <w:pStyle w:val="BodyText"/>
        <w:ind w:left="0"/>
      </w:pPr>
      <w:r w:rsidRPr="0095246E">
        <w:t>The Grand Forks – East Grand Forks Metropolitan Planning Organization (</w:t>
      </w:r>
      <w:r w:rsidR="0065129F">
        <w:t>the</w:t>
      </w:r>
      <w:r w:rsidR="00212D72">
        <w:t xml:space="preserve"> </w:t>
      </w:r>
      <w:r w:rsidRPr="0095246E">
        <w:t xml:space="preserve">MPO) requests </w:t>
      </w:r>
      <w:r w:rsidR="002077F4" w:rsidRPr="0095246E">
        <w:t>proposals</w:t>
      </w:r>
      <w:r w:rsidRPr="0095246E">
        <w:t xml:space="preserve"> from qualified consultants for the following project:</w:t>
      </w:r>
    </w:p>
    <w:p w14:paraId="30B99FF3" w14:textId="77777777" w:rsidR="002077F4" w:rsidRPr="0095246E" w:rsidRDefault="002077F4" w:rsidP="00483FFF">
      <w:pPr>
        <w:pStyle w:val="BodyText"/>
        <w:ind w:left="0"/>
      </w:pPr>
    </w:p>
    <w:p w14:paraId="57E52A54" w14:textId="7F29CA47" w:rsidR="00570CA1" w:rsidRPr="001C1B79" w:rsidRDefault="0065129F" w:rsidP="00483FFF">
      <w:pPr>
        <w:ind w:left="0"/>
        <w:jc w:val="center"/>
        <w:rPr>
          <w:rStyle w:val="normaltextrun"/>
          <w:rFonts w:ascii="Calibri" w:hAnsi="Calibri" w:cs="Calibri"/>
          <w:b/>
          <w:bCs/>
          <w:shd w:val="clear" w:color="auto" w:fill="FFFFFF"/>
        </w:rPr>
      </w:pPr>
      <w:r w:rsidRPr="001C1B79">
        <w:rPr>
          <w:rStyle w:val="normaltextrun"/>
          <w:rFonts w:ascii="Calibri" w:hAnsi="Calibri" w:cs="Calibri"/>
          <w:b/>
          <w:bCs/>
          <w:shd w:val="clear" w:color="auto" w:fill="FFFFFF"/>
        </w:rPr>
        <w:t xml:space="preserve">The </w:t>
      </w:r>
      <w:r w:rsidR="00021A30" w:rsidRPr="001C1B79">
        <w:rPr>
          <w:rStyle w:val="normaltextrun"/>
          <w:rFonts w:ascii="Calibri" w:hAnsi="Calibri" w:cs="Calibri"/>
          <w:b/>
          <w:bCs/>
          <w:shd w:val="clear" w:color="auto" w:fill="FFFFFF"/>
        </w:rPr>
        <w:t>Forks</w:t>
      </w:r>
      <w:r w:rsidR="000D5F23" w:rsidRPr="001C1B79">
        <w:rPr>
          <w:rStyle w:val="normaltextrun"/>
          <w:rFonts w:ascii="Calibri" w:hAnsi="Calibri" w:cs="Calibri"/>
          <w:b/>
          <w:bCs/>
          <w:shd w:val="clear" w:color="auto" w:fill="FFFFFF"/>
        </w:rPr>
        <w:t xml:space="preserve"> </w:t>
      </w:r>
      <w:r w:rsidR="005E595E" w:rsidRPr="001C1B79">
        <w:rPr>
          <w:rStyle w:val="normaltextrun"/>
          <w:rFonts w:ascii="Calibri" w:hAnsi="Calibri" w:cs="Calibri"/>
          <w:b/>
          <w:bCs/>
          <w:shd w:val="clear" w:color="auto" w:fill="FFFFFF"/>
        </w:rPr>
        <w:t>MPO 2055 Metropolitan Transportation Plan and Area Transit Development Plan</w:t>
      </w:r>
    </w:p>
    <w:p w14:paraId="040AA757" w14:textId="77777777" w:rsidR="00A611FC" w:rsidRPr="0095246E" w:rsidRDefault="00A611FC" w:rsidP="00483FFF">
      <w:pPr>
        <w:ind w:left="0"/>
      </w:pPr>
    </w:p>
    <w:p w14:paraId="6DA8BAE7" w14:textId="4119EC7F" w:rsidR="00130AAD" w:rsidRPr="0095246E" w:rsidRDefault="387FE0CA" w:rsidP="00483FFF">
      <w:pPr>
        <w:pStyle w:val="BodyText"/>
        <w:ind w:left="0"/>
      </w:pPr>
      <w:r w:rsidRPr="0868C5BF">
        <w:t>Qualifications based selection criteria will be used to analyze technical submittals from responding consultants. Upon completion of technical ranking, the</w:t>
      </w:r>
      <w:r w:rsidR="00DF5CC6">
        <w:t xml:space="preserve"> </w:t>
      </w:r>
      <w:r w:rsidRPr="0868C5BF">
        <w:t xml:space="preserve">MPO will </w:t>
      </w:r>
      <w:r w:rsidR="088D895F" w:rsidRPr="0868C5BF">
        <w:t>enter</w:t>
      </w:r>
      <w:r w:rsidRPr="0868C5BF">
        <w:t xml:space="preserve"> contract negotiations with the top ranked firm. Sealed cost proposals will be required with the RFP. The cost proposal of the </w:t>
      </w:r>
      <w:r w:rsidR="00E14BC2" w:rsidRPr="0868C5BF">
        <w:t>top-ranked</w:t>
      </w:r>
      <w:r w:rsidRPr="0868C5BF">
        <w:t xml:space="preserve"> firm will be </w:t>
      </w:r>
      <w:r w:rsidR="088D895F" w:rsidRPr="0868C5BF">
        <w:t xml:space="preserve">opened </w:t>
      </w:r>
      <w:r w:rsidRPr="0868C5BF">
        <w:t xml:space="preserve">during contract negotiations. The </w:t>
      </w:r>
      <w:r w:rsidR="00DF5CC6">
        <w:t xml:space="preserve">Forks </w:t>
      </w:r>
      <w:r w:rsidRPr="0868C5BF">
        <w:t>MPO reserves the right to reject any or all submittals. This project has</w:t>
      </w:r>
      <w:r w:rsidR="00C06EAC">
        <w:t xml:space="preserve"> </w:t>
      </w:r>
      <w:proofErr w:type="gramStart"/>
      <w:r w:rsidR="00C06EAC">
        <w:t>a</w:t>
      </w:r>
      <w:r w:rsidRPr="0868C5BF">
        <w:t xml:space="preserve"> </w:t>
      </w:r>
      <w:r w:rsidR="00CB17D1" w:rsidRPr="0868C5BF">
        <w:t>not</w:t>
      </w:r>
      <w:proofErr w:type="gramEnd"/>
      <w:r w:rsidRPr="0868C5BF">
        <w:t xml:space="preserve"> </w:t>
      </w:r>
      <w:proofErr w:type="gramStart"/>
      <w:r w:rsidRPr="0868C5BF">
        <w:t>to exceed</w:t>
      </w:r>
      <w:proofErr w:type="gramEnd"/>
      <w:r w:rsidR="00331BC2">
        <w:t xml:space="preserve"> a total</w:t>
      </w:r>
      <w:r w:rsidRPr="0868C5BF">
        <w:t xml:space="preserve"> budget </w:t>
      </w:r>
      <w:r w:rsidRPr="0059540A">
        <w:t xml:space="preserve">of </w:t>
      </w:r>
      <w:r w:rsidRPr="001C1B79">
        <w:rPr>
          <w:b/>
          <w:bCs/>
        </w:rPr>
        <w:t>$</w:t>
      </w:r>
      <w:r w:rsidR="005E595E" w:rsidRPr="001C1B79">
        <w:rPr>
          <w:b/>
          <w:bCs/>
        </w:rPr>
        <w:t>350,000</w:t>
      </w:r>
      <w:r w:rsidRPr="0059540A">
        <w:t>.</w:t>
      </w:r>
      <w:r w:rsidR="00923E19" w:rsidRPr="0059540A">
        <w:t xml:space="preserve"> Limitations on the amount of funds that can be expended each year </w:t>
      </w:r>
      <w:r w:rsidR="00331BC2" w:rsidRPr="0059540A">
        <w:t xml:space="preserve">(2026, 2027, and 2028) </w:t>
      </w:r>
      <w:r w:rsidR="004007E2" w:rsidRPr="0059540A">
        <w:t>will need to be negotiated within the contract</w:t>
      </w:r>
      <w:r w:rsidR="00457FA5" w:rsidRPr="0059540A">
        <w:t>,</w:t>
      </w:r>
      <w:r w:rsidR="00F23EBD" w:rsidRPr="0059540A">
        <w:t xml:space="preserve"> given </w:t>
      </w:r>
      <w:r w:rsidR="00B70C98" w:rsidRPr="0059540A">
        <w:t>rigid annual funding limitations</w:t>
      </w:r>
      <w:r w:rsidR="007568FF" w:rsidRPr="0059540A">
        <w:t xml:space="preserve"> with the inability to rollover budgeted funds into the next </w:t>
      </w:r>
      <w:r w:rsidR="007137A1" w:rsidRPr="0059540A">
        <w:t xml:space="preserve">calendar </w:t>
      </w:r>
      <w:r w:rsidR="007568FF" w:rsidRPr="0059540A">
        <w:t>year</w:t>
      </w:r>
      <w:r w:rsidR="00F23EBD" w:rsidRPr="0059540A">
        <w:t>.</w:t>
      </w:r>
      <w:r w:rsidR="00F23EBD">
        <w:t xml:space="preserve"> </w:t>
      </w:r>
    </w:p>
    <w:p w14:paraId="5C5EF140" w14:textId="415A1697" w:rsidR="002077F4" w:rsidRPr="0095246E" w:rsidRDefault="002077F4" w:rsidP="00483FFF">
      <w:pPr>
        <w:pStyle w:val="BodyText"/>
        <w:ind w:left="0"/>
      </w:pPr>
    </w:p>
    <w:p w14:paraId="38217FBD" w14:textId="4EAD6BEC" w:rsidR="002077F4" w:rsidRPr="0095246E" w:rsidRDefault="002077F4" w:rsidP="00483FFF">
      <w:pPr>
        <w:pStyle w:val="BodyText"/>
        <w:ind w:left="0"/>
      </w:pPr>
      <w:r w:rsidRPr="0095246E">
        <w:t xml:space="preserve">Interested firms should contact </w:t>
      </w:r>
      <w:r w:rsidR="00FE3079">
        <w:t>Ben Ehreth</w:t>
      </w:r>
      <w:r w:rsidRPr="0095246E">
        <w:t xml:space="preserve"> at the</w:t>
      </w:r>
      <w:r w:rsidR="00DF5CC6">
        <w:t xml:space="preserve"> </w:t>
      </w:r>
      <w:r w:rsidRPr="0095246E">
        <w:t>MPO, 600 DeMers Avenue, East Grand Forks, MN 56721. Contact can also be done via phone 701</w:t>
      </w:r>
      <w:r w:rsidR="00B0291F">
        <w:t>-746-2660</w:t>
      </w:r>
      <w:r w:rsidRPr="0095246E">
        <w:t xml:space="preserve">, or by email: </w:t>
      </w:r>
      <w:hyperlink r:id="rId12" w:history="1">
        <w:r w:rsidR="00AB70B7" w:rsidRPr="00FA0F6F">
          <w:rPr>
            <w:rStyle w:val="Hyperlink"/>
          </w:rPr>
          <w:t>ben.ehreth@theforksmpo.org</w:t>
        </w:r>
      </w:hyperlink>
      <w:r w:rsidR="00AB70B7">
        <w:t xml:space="preserve"> . </w:t>
      </w:r>
    </w:p>
    <w:p w14:paraId="692249FD" w14:textId="77777777" w:rsidR="002077F4" w:rsidRPr="0095246E" w:rsidRDefault="002077F4" w:rsidP="00483FFF">
      <w:pPr>
        <w:pStyle w:val="BodyText"/>
        <w:ind w:left="0"/>
      </w:pPr>
    </w:p>
    <w:p w14:paraId="32EBD8BF" w14:textId="41C8CF96" w:rsidR="00D8480D" w:rsidRPr="001C1B79" w:rsidRDefault="000F49DB" w:rsidP="00483FFF">
      <w:pPr>
        <w:ind w:left="0"/>
        <w:rPr>
          <w:sz w:val="22"/>
          <w:szCs w:val="22"/>
        </w:rPr>
      </w:pPr>
      <w:r w:rsidRPr="0045547E">
        <w:rPr>
          <w:lang w:bidi="en-US"/>
        </w:rPr>
        <w:t>All proposals received by</w:t>
      </w:r>
      <w:r w:rsidR="79E53543" w:rsidRPr="0045547E">
        <w:rPr>
          <w:lang w:bidi="en-US"/>
        </w:rPr>
        <w:t xml:space="preserve"> </w:t>
      </w:r>
      <w:r w:rsidR="007C383A" w:rsidRPr="00816AA2">
        <w:rPr>
          <w:lang w:bidi="en-US"/>
        </w:rPr>
        <w:t xml:space="preserve">April </w:t>
      </w:r>
      <w:r w:rsidR="00011FF4" w:rsidRPr="00816AA2">
        <w:rPr>
          <w:lang w:bidi="en-US"/>
        </w:rPr>
        <w:t>17</w:t>
      </w:r>
      <w:r w:rsidR="007C383A" w:rsidRPr="00816AA2">
        <w:rPr>
          <w:vertAlign w:val="superscript"/>
          <w:lang w:bidi="en-US"/>
        </w:rPr>
        <w:t>th</w:t>
      </w:r>
      <w:r w:rsidR="0030624A" w:rsidRPr="00816AA2">
        <w:rPr>
          <w:lang w:bidi="en-US"/>
        </w:rPr>
        <w:t>, 202</w:t>
      </w:r>
      <w:r w:rsidR="00C93C55" w:rsidRPr="00816AA2">
        <w:rPr>
          <w:lang w:bidi="en-US"/>
        </w:rPr>
        <w:t>6</w:t>
      </w:r>
      <w:r w:rsidRPr="00816AA2">
        <w:rPr>
          <w:lang w:bidi="en-US"/>
        </w:rPr>
        <w:t>,</w:t>
      </w:r>
      <w:r w:rsidRPr="0045547E">
        <w:rPr>
          <w:lang w:bidi="en-US"/>
        </w:rPr>
        <w:t xml:space="preserve"> at </w:t>
      </w:r>
      <w:r w:rsidR="00AB70B7">
        <w:rPr>
          <w:lang w:bidi="en-US"/>
        </w:rPr>
        <w:t>5</w:t>
      </w:r>
      <w:r w:rsidR="00867F29">
        <w:rPr>
          <w:lang w:bidi="en-US"/>
        </w:rPr>
        <w:t>pm</w:t>
      </w:r>
      <w:r w:rsidRPr="0045547E">
        <w:rPr>
          <w:lang w:bidi="en-US"/>
        </w:rPr>
        <w:t xml:space="preserve"> at the</w:t>
      </w:r>
      <w:r w:rsidR="00DF5CC6">
        <w:rPr>
          <w:lang w:bidi="en-US"/>
        </w:rPr>
        <w:t xml:space="preserve"> </w:t>
      </w:r>
      <w:r w:rsidRPr="0045547E">
        <w:rPr>
          <w:lang w:bidi="en-US"/>
        </w:rPr>
        <w:t xml:space="preserve">MPO Office will be given equal consideration.  Minority, women-owned, and disadvantaged business enterprises are encouraged to participate.  </w:t>
      </w:r>
      <w:r w:rsidRPr="001C1B79">
        <w:rPr>
          <w:lang w:bidi="en-US"/>
        </w:rPr>
        <w:t xml:space="preserve">The full length of each proposal should not exceed </w:t>
      </w:r>
      <w:r w:rsidR="001A2088" w:rsidRPr="001C1B79">
        <w:rPr>
          <w:lang w:bidi="en-US"/>
        </w:rPr>
        <w:t>thirty</w:t>
      </w:r>
      <w:r w:rsidR="7418ADDC" w:rsidRPr="001C1B79">
        <w:rPr>
          <w:lang w:bidi="en-US"/>
        </w:rPr>
        <w:t xml:space="preserve"> (</w:t>
      </w:r>
      <w:r w:rsidR="001A2088" w:rsidRPr="001C1B79">
        <w:rPr>
          <w:lang w:bidi="en-US"/>
        </w:rPr>
        <w:t>30</w:t>
      </w:r>
      <w:r w:rsidR="1DC6EDF8" w:rsidRPr="001C1B79">
        <w:rPr>
          <w:lang w:bidi="en-US"/>
        </w:rPr>
        <w:t>)</w:t>
      </w:r>
      <w:r w:rsidR="1ACAD1F5" w:rsidRPr="001C1B79">
        <w:rPr>
          <w:lang w:bidi="en-US"/>
        </w:rPr>
        <w:t xml:space="preserve"> pages (</w:t>
      </w:r>
      <w:r w:rsidR="001A2088" w:rsidRPr="001C1B79">
        <w:rPr>
          <w:lang w:bidi="en-US"/>
        </w:rPr>
        <w:t>fifteen</w:t>
      </w:r>
      <w:r w:rsidRPr="001C1B79">
        <w:rPr>
          <w:lang w:bidi="en-US"/>
        </w:rPr>
        <w:t xml:space="preserve"> (</w:t>
      </w:r>
      <w:r w:rsidR="001A2088" w:rsidRPr="001C1B79">
        <w:rPr>
          <w:lang w:bidi="en-US"/>
        </w:rPr>
        <w:t>15</w:t>
      </w:r>
      <w:r w:rsidRPr="001C1B79">
        <w:rPr>
          <w:lang w:bidi="en-US"/>
        </w:rPr>
        <w:t xml:space="preserve">) double-sided pages, </w:t>
      </w:r>
      <w:r w:rsidR="015FE44A" w:rsidRPr="001C1B79">
        <w:rPr>
          <w:lang w:bidi="en-US"/>
        </w:rPr>
        <w:t xml:space="preserve">if printed) </w:t>
      </w:r>
      <w:r w:rsidRPr="001C1B79">
        <w:rPr>
          <w:lang w:bidi="en-US"/>
        </w:rPr>
        <w:t>including any supporting material, charts, or tables</w:t>
      </w:r>
      <w:r w:rsidR="00D75E8A" w:rsidRPr="001C1B79">
        <w:rPr>
          <w:lang w:bidi="en-US"/>
        </w:rPr>
        <w:t>, ex</w:t>
      </w:r>
      <w:r w:rsidR="00FA7556" w:rsidRPr="001C1B79">
        <w:rPr>
          <w:lang w:bidi="en-US"/>
        </w:rPr>
        <w:t xml:space="preserve">cept for the required </w:t>
      </w:r>
      <w:r w:rsidR="001F0621" w:rsidRPr="001C1B79">
        <w:rPr>
          <w:lang w:bidi="en-US"/>
        </w:rPr>
        <w:t>inclusions provided in the RFP</w:t>
      </w:r>
      <w:r w:rsidRPr="001C1B79">
        <w:rPr>
          <w:lang w:bidi="en-US"/>
        </w:rPr>
        <w:t xml:space="preserve">. Electronic proposals are preferred in </w:t>
      </w:r>
      <w:r w:rsidR="5FFB00FE" w:rsidRPr="001C1B79">
        <w:rPr>
          <w:lang w:bidi="en-US"/>
        </w:rPr>
        <w:t>doc or pdf</w:t>
      </w:r>
      <w:r w:rsidRPr="001C1B79">
        <w:rPr>
          <w:lang w:bidi="en-US"/>
        </w:rPr>
        <w:t xml:space="preserve"> format; </w:t>
      </w:r>
      <w:r w:rsidR="6DA08DD8" w:rsidRPr="001C1B79">
        <w:rPr>
          <w:lang w:bidi="en-US"/>
        </w:rPr>
        <w:t>however,</w:t>
      </w:r>
      <w:r w:rsidRPr="001C1B79">
        <w:rPr>
          <w:lang w:bidi="en-US"/>
        </w:rPr>
        <w:t xml:space="preserve"> they must be easily reproducible by </w:t>
      </w:r>
      <w:r w:rsidR="00031BD4" w:rsidRPr="001C1B79">
        <w:rPr>
          <w:lang w:bidi="en-US"/>
        </w:rPr>
        <w:t>the</w:t>
      </w:r>
      <w:r w:rsidR="00DF5CC6" w:rsidRPr="001C1B79">
        <w:rPr>
          <w:lang w:bidi="en-US"/>
        </w:rPr>
        <w:t xml:space="preserve"> </w:t>
      </w:r>
      <w:r w:rsidRPr="001C1B79">
        <w:rPr>
          <w:lang w:bidi="en-US"/>
        </w:rPr>
        <w:t xml:space="preserve">MPO in black-and-white. </w:t>
      </w:r>
      <w:r w:rsidR="6DA08DD8" w:rsidRPr="001C1B79">
        <w:rPr>
          <w:lang w:bidi="en-US"/>
        </w:rPr>
        <w:t>If printed</w:t>
      </w:r>
      <w:r w:rsidRPr="001C1B79">
        <w:rPr>
          <w:lang w:bidi="en-US"/>
        </w:rPr>
        <w:t xml:space="preserve"> copies are sent, only </w:t>
      </w:r>
      <w:r w:rsidR="00A64F85" w:rsidRPr="001C1B79">
        <w:rPr>
          <w:lang w:bidi="en-US"/>
        </w:rPr>
        <w:t>five</w:t>
      </w:r>
      <w:r w:rsidRPr="001C1B79">
        <w:rPr>
          <w:lang w:bidi="en-US"/>
        </w:rPr>
        <w:t xml:space="preserve"> (</w:t>
      </w:r>
      <w:r w:rsidR="001F0621" w:rsidRPr="001C1B79">
        <w:rPr>
          <w:lang w:bidi="en-US"/>
        </w:rPr>
        <w:t>5</w:t>
      </w:r>
      <w:r w:rsidR="2E4A7780" w:rsidRPr="001C1B79">
        <w:rPr>
          <w:lang w:bidi="en-US"/>
        </w:rPr>
        <w:t>) should</w:t>
      </w:r>
      <w:r w:rsidRPr="001C1B79">
        <w:rPr>
          <w:lang w:bidi="en-US"/>
        </w:rPr>
        <w:t xml:space="preserve"> be sent and the</w:t>
      </w:r>
      <w:r w:rsidR="00DF5CC6" w:rsidRPr="001C1B79">
        <w:rPr>
          <w:lang w:bidi="en-US"/>
        </w:rPr>
        <w:t xml:space="preserve"> </w:t>
      </w:r>
      <w:r w:rsidRPr="001C1B79">
        <w:rPr>
          <w:lang w:bidi="en-US"/>
        </w:rPr>
        <w:t xml:space="preserve">MPO will not accept spiral bound proposals; consultants are encouraged to prepare proposals in a format that will ensure for efficient </w:t>
      </w:r>
      <w:r w:rsidR="5C76A23F" w:rsidRPr="001C1B79">
        <w:rPr>
          <w:lang w:bidi="en-US"/>
        </w:rPr>
        <w:t>disposal and</w:t>
      </w:r>
      <w:r w:rsidRPr="001C1B79">
        <w:rPr>
          <w:lang w:bidi="en-US"/>
        </w:rPr>
        <w:t xml:space="preserve"> are encouraged to use materials that are easily recycled.  A sealed cost proposal </w:t>
      </w:r>
      <w:r w:rsidR="00F93495" w:rsidRPr="001C1B79">
        <w:rPr>
          <w:lang w:bidi="en-US"/>
        </w:rPr>
        <w:t xml:space="preserve">can be </w:t>
      </w:r>
      <w:r w:rsidR="00237784" w:rsidRPr="001C1B79">
        <w:rPr>
          <w:lang w:bidi="en-US"/>
        </w:rPr>
        <w:t xml:space="preserve">sent in a separate email with a password </w:t>
      </w:r>
      <w:r w:rsidR="00CA1C26" w:rsidRPr="001C1B79">
        <w:rPr>
          <w:lang w:bidi="en-US"/>
        </w:rPr>
        <w:t>protected document</w:t>
      </w:r>
      <w:r w:rsidR="007461B6" w:rsidRPr="001C1B79">
        <w:rPr>
          <w:lang w:bidi="en-US"/>
        </w:rPr>
        <w:t xml:space="preserve"> (password should be: </w:t>
      </w:r>
      <w:proofErr w:type="spellStart"/>
      <w:r w:rsidR="007461B6" w:rsidRPr="001C1B79">
        <w:rPr>
          <w:lang w:bidi="en-US"/>
        </w:rPr>
        <w:t>theforksmpo</w:t>
      </w:r>
      <w:proofErr w:type="spellEnd"/>
      <w:r w:rsidR="007461B6" w:rsidRPr="001C1B79">
        <w:rPr>
          <w:lang w:bidi="en-US"/>
        </w:rPr>
        <w:t>)</w:t>
      </w:r>
      <w:r w:rsidR="00083752" w:rsidRPr="001C1B79">
        <w:rPr>
          <w:lang w:bidi="en-US"/>
        </w:rPr>
        <w:t xml:space="preserve">. If </w:t>
      </w:r>
      <w:r w:rsidR="001522DC" w:rsidRPr="001C1B79">
        <w:rPr>
          <w:lang w:bidi="en-US"/>
        </w:rPr>
        <w:t>a</w:t>
      </w:r>
      <w:r w:rsidR="003F004C" w:rsidRPr="001C1B79">
        <w:rPr>
          <w:lang w:bidi="en-US"/>
        </w:rPr>
        <w:t xml:space="preserve"> hard copy of the</w:t>
      </w:r>
      <w:r w:rsidR="001522DC" w:rsidRPr="001C1B79">
        <w:rPr>
          <w:lang w:bidi="en-US"/>
        </w:rPr>
        <w:t xml:space="preserve"> cost proposal</w:t>
      </w:r>
      <w:r w:rsidR="003F004C" w:rsidRPr="001C1B79">
        <w:rPr>
          <w:lang w:bidi="en-US"/>
        </w:rPr>
        <w:t xml:space="preserve"> is mailed</w:t>
      </w:r>
      <w:r w:rsidRPr="001C1B79">
        <w:rPr>
          <w:lang w:bidi="en-US"/>
        </w:rPr>
        <w:t xml:space="preserve"> </w:t>
      </w:r>
      <w:r w:rsidR="00C95134" w:rsidRPr="001C1B79">
        <w:rPr>
          <w:lang w:bidi="en-US"/>
        </w:rPr>
        <w:t xml:space="preserve">it must </w:t>
      </w:r>
      <w:r w:rsidR="002269C4" w:rsidRPr="001C1B79">
        <w:rPr>
          <w:lang w:bidi="en-US"/>
        </w:rPr>
        <w:t>arrive by</w:t>
      </w:r>
      <w:r w:rsidRPr="001C1B79">
        <w:rPr>
          <w:lang w:bidi="en-US"/>
        </w:rPr>
        <w:t xml:space="preserve"> </w:t>
      </w:r>
      <w:r w:rsidR="5FFB00FE" w:rsidRPr="001C1B79">
        <w:rPr>
          <w:lang w:bidi="en-US"/>
        </w:rPr>
        <w:t>the noted</w:t>
      </w:r>
      <w:r w:rsidRPr="001C1B79">
        <w:rPr>
          <w:lang w:bidi="en-US"/>
        </w:rPr>
        <w:t xml:space="preserve"> due date. Submittals must be received no later than </w:t>
      </w:r>
      <w:r w:rsidR="007C383A" w:rsidRPr="00BE516E">
        <w:rPr>
          <w:b/>
          <w:bCs/>
          <w:color w:val="auto"/>
          <w:lang w:bidi="en-US"/>
        </w:rPr>
        <w:t xml:space="preserve">April </w:t>
      </w:r>
      <w:r w:rsidR="00011FF4" w:rsidRPr="00BE516E">
        <w:rPr>
          <w:b/>
          <w:bCs/>
          <w:color w:val="auto"/>
          <w:lang w:bidi="en-US"/>
        </w:rPr>
        <w:t>17</w:t>
      </w:r>
      <w:r w:rsidR="007C383A" w:rsidRPr="00BE516E">
        <w:rPr>
          <w:b/>
          <w:bCs/>
          <w:color w:val="auto"/>
          <w:vertAlign w:val="superscript"/>
          <w:lang w:bidi="en-US"/>
        </w:rPr>
        <w:t>th</w:t>
      </w:r>
      <w:r w:rsidR="00317936" w:rsidRPr="00BE516E">
        <w:rPr>
          <w:b/>
          <w:bCs/>
          <w:color w:val="auto"/>
          <w:lang w:bidi="en-US"/>
        </w:rPr>
        <w:t>, 202</w:t>
      </w:r>
      <w:r w:rsidR="00C93C55" w:rsidRPr="00BE516E">
        <w:rPr>
          <w:b/>
          <w:bCs/>
          <w:color w:val="auto"/>
          <w:lang w:bidi="en-US"/>
        </w:rPr>
        <w:t>6</w:t>
      </w:r>
      <w:r w:rsidR="5FFB00FE" w:rsidRPr="00BE516E">
        <w:rPr>
          <w:b/>
          <w:bCs/>
          <w:color w:val="auto"/>
          <w:lang w:bidi="en-US"/>
        </w:rPr>
        <w:t>,</w:t>
      </w:r>
      <w:r w:rsidRPr="00BE516E">
        <w:rPr>
          <w:b/>
          <w:bCs/>
          <w:color w:val="auto"/>
          <w:lang w:bidi="en-US"/>
        </w:rPr>
        <w:t xml:space="preserve"> at </w:t>
      </w:r>
      <w:r w:rsidR="006F453F" w:rsidRPr="00BE516E">
        <w:rPr>
          <w:b/>
          <w:bCs/>
          <w:color w:val="auto"/>
          <w:lang w:bidi="en-US"/>
        </w:rPr>
        <w:t>5pm</w:t>
      </w:r>
      <w:r w:rsidRPr="00BE516E">
        <w:rPr>
          <w:b/>
          <w:bCs/>
          <w:color w:val="auto"/>
          <w:lang w:bidi="en-US"/>
        </w:rPr>
        <w:t xml:space="preserve"> (</w:t>
      </w:r>
      <w:r w:rsidR="5FFB00FE" w:rsidRPr="00BE516E">
        <w:rPr>
          <w:b/>
          <w:bCs/>
          <w:color w:val="auto"/>
          <w:lang w:bidi="en-US"/>
        </w:rPr>
        <w:t>central</w:t>
      </w:r>
      <w:r w:rsidRPr="00BE516E">
        <w:rPr>
          <w:b/>
          <w:bCs/>
          <w:color w:val="auto"/>
          <w:lang w:bidi="en-US"/>
        </w:rPr>
        <w:t xml:space="preserve"> time)</w:t>
      </w:r>
      <w:r w:rsidRPr="001C1B79">
        <w:rPr>
          <w:lang w:bidi="en-US"/>
        </w:rPr>
        <w:t xml:space="preserve">. Hard copies of technical and/or cost proposals should be shipped to ensure </w:t>
      </w:r>
      <w:proofErr w:type="gramStart"/>
      <w:r w:rsidRPr="001C1B79">
        <w:rPr>
          <w:lang w:bidi="en-US"/>
        </w:rPr>
        <w:t>timely delivery</w:t>
      </w:r>
      <w:proofErr w:type="gramEnd"/>
      <w:r w:rsidRPr="001C1B79">
        <w:rPr>
          <w:lang w:bidi="en-US"/>
        </w:rPr>
        <w:t xml:space="preserve"> to:</w:t>
      </w:r>
    </w:p>
    <w:p w14:paraId="08406F77" w14:textId="77777777" w:rsidR="002077F4" w:rsidRDefault="002077F4" w:rsidP="00483FFF">
      <w:pPr>
        <w:spacing w:line="120" w:lineRule="auto"/>
        <w:ind w:left="0"/>
      </w:pPr>
    </w:p>
    <w:p w14:paraId="432771FD" w14:textId="4B257847" w:rsidR="002077F4" w:rsidRPr="00483FFF" w:rsidRDefault="006F453F" w:rsidP="00483FFF">
      <w:pPr>
        <w:pStyle w:val="BodyText"/>
        <w:ind w:left="0"/>
        <w:jc w:val="center"/>
        <w:rPr>
          <w:sz w:val="20"/>
          <w:szCs w:val="20"/>
        </w:rPr>
      </w:pPr>
      <w:r w:rsidRPr="00483FFF">
        <w:rPr>
          <w:sz w:val="20"/>
          <w:szCs w:val="20"/>
        </w:rPr>
        <w:t>Ben Ehreth, AICP</w:t>
      </w:r>
    </w:p>
    <w:p w14:paraId="229CF1C9" w14:textId="2D9CA1A8" w:rsidR="00D8480D" w:rsidRPr="00483FFF" w:rsidRDefault="006F453F" w:rsidP="00483FFF">
      <w:pPr>
        <w:pStyle w:val="BodyText"/>
        <w:ind w:left="0"/>
        <w:jc w:val="center"/>
        <w:rPr>
          <w:sz w:val="20"/>
          <w:szCs w:val="20"/>
        </w:rPr>
      </w:pPr>
      <w:r w:rsidRPr="00483FFF">
        <w:rPr>
          <w:sz w:val="20"/>
          <w:szCs w:val="20"/>
        </w:rPr>
        <w:t>Director</w:t>
      </w:r>
    </w:p>
    <w:p w14:paraId="5A84EF09" w14:textId="0F1D639E" w:rsidR="002077F4" w:rsidRPr="00483FFF" w:rsidRDefault="00D8480D" w:rsidP="00483FFF">
      <w:pPr>
        <w:pStyle w:val="BodyText"/>
        <w:ind w:left="0"/>
        <w:jc w:val="center"/>
        <w:rPr>
          <w:sz w:val="20"/>
          <w:szCs w:val="20"/>
        </w:rPr>
      </w:pPr>
      <w:bookmarkStart w:id="0" w:name="Grand_Forks_–_East_Grand_Forks_MPO"/>
      <w:bookmarkStart w:id="1" w:name="600_DeMers_Ave."/>
      <w:bookmarkEnd w:id="0"/>
      <w:bookmarkEnd w:id="1"/>
      <w:r w:rsidRPr="00483FFF">
        <w:rPr>
          <w:sz w:val="20"/>
          <w:szCs w:val="20"/>
        </w:rPr>
        <w:t>Grand Forks – East Grand Forks</w:t>
      </w:r>
      <w:r w:rsidR="00312E33" w:rsidRPr="00483FFF">
        <w:rPr>
          <w:sz w:val="20"/>
          <w:szCs w:val="20"/>
        </w:rPr>
        <w:t xml:space="preserve"> MPO</w:t>
      </w:r>
    </w:p>
    <w:p w14:paraId="79F46796" w14:textId="2363520E" w:rsidR="00D8480D" w:rsidRPr="00483FFF" w:rsidRDefault="00D8480D" w:rsidP="00483FFF">
      <w:pPr>
        <w:pStyle w:val="BodyText"/>
        <w:ind w:left="0"/>
        <w:jc w:val="center"/>
        <w:rPr>
          <w:sz w:val="20"/>
          <w:szCs w:val="20"/>
        </w:rPr>
      </w:pPr>
      <w:r w:rsidRPr="00483FFF">
        <w:rPr>
          <w:sz w:val="20"/>
          <w:szCs w:val="20"/>
        </w:rPr>
        <w:t>600 DeMers Ave.</w:t>
      </w:r>
    </w:p>
    <w:p w14:paraId="3036CED8" w14:textId="77777777" w:rsidR="00D8480D" w:rsidRPr="00483FFF" w:rsidRDefault="00D8480D" w:rsidP="00483FFF">
      <w:pPr>
        <w:pStyle w:val="BodyText"/>
        <w:ind w:left="0"/>
        <w:jc w:val="center"/>
        <w:rPr>
          <w:sz w:val="20"/>
          <w:szCs w:val="20"/>
        </w:rPr>
      </w:pPr>
      <w:bookmarkStart w:id="2" w:name="East_Grand_Forks,_Minnesota_56721"/>
      <w:bookmarkEnd w:id="2"/>
      <w:r w:rsidRPr="00483FFF">
        <w:rPr>
          <w:sz w:val="20"/>
          <w:szCs w:val="20"/>
        </w:rPr>
        <w:t>East Grand Forks, Minnesota 56721</w:t>
      </w:r>
    </w:p>
    <w:p w14:paraId="41A9F6EE" w14:textId="754E99AD" w:rsidR="00D8480D" w:rsidRPr="00483FFF" w:rsidRDefault="00EB3E33" w:rsidP="00483FFF">
      <w:pPr>
        <w:pStyle w:val="BodyText"/>
        <w:ind w:left="0"/>
        <w:jc w:val="center"/>
        <w:rPr>
          <w:sz w:val="20"/>
          <w:szCs w:val="20"/>
        </w:rPr>
      </w:pPr>
      <w:hyperlink r:id="rId13" w:history="1">
        <w:r w:rsidRPr="00483FFF">
          <w:rPr>
            <w:rStyle w:val="Hyperlink"/>
            <w:sz w:val="20"/>
            <w:szCs w:val="20"/>
          </w:rPr>
          <w:t>ben.ehreth@theforksmpo.org</w:t>
        </w:r>
      </w:hyperlink>
    </w:p>
    <w:p w14:paraId="3072E6B9" w14:textId="07DA5670" w:rsidR="00D8480D" w:rsidRPr="00483FFF" w:rsidRDefault="00901D9B" w:rsidP="00483FFF">
      <w:pPr>
        <w:pStyle w:val="BodyText"/>
        <w:ind w:left="0"/>
        <w:jc w:val="center"/>
        <w:rPr>
          <w:sz w:val="20"/>
          <w:szCs w:val="20"/>
        </w:rPr>
      </w:pPr>
      <w:r w:rsidRPr="00BE516E">
        <w:rPr>
          <w:sz w:val="20"/>
          <w:szCs w:val="20"/>
        </w:rPr>
        <w:t xml:space="preserve">Office </w:t>
      </w:r>
      <w:r w:rsidR="00D8480D" w:rsidRPr="00BE516E">
        <w:rPr>
          <w:sz w:val="20"/>
          <w:szCs w:val="20"/>
        </w:rPr>
        <w:t>Phone</w:t>
      </w:r>
      <w:r w:rsidR="00D8480D" w:rsidRPr="00483FFF">
        <w:rPr>
          <w:sz w:val="20"/>
          <w:szCs w:val="20"/>
        </w:rPr>
        <w:t xml:space="preserve">: </w:t>
      </w:r>
      <w:r w:rsidR="00E63A32" w:rsidRPr="00483FFF">
        <w:rPr>
          <w:sz w:val="20"/>
          <w:szCs w:val="20"/>
        </w:rPr>
        <w:t>701</w:t>
      </w:r>
      <w:r w:rsidR="00130AAD" w:rsidRPr="00483FFF">
        <w:rPr>
          <w:sz w:val="20"/>
          <w:szCs w:val="20"/>
        </w:rPr>
        <w:t>-</w:t>
      </w:r>
      <w:r w:rsidR="00E63A32" w:rsidRPr="00483FFF">
        <w:rPr>
          <w:sz w:val="20"/>
          <w:szCs w:val="20"/>
        </w:rPr>
        <w:t>746</w:t>
      </w:r>
      <w:r w:rsidR="00130AAD" w:rsidRPr="00483FFF">
        <w:rPr>
          <w:sz w:val="20"/>
          <w:szCs w:val="20"/>
        </w:rPr>
        <w:t>-</w:t>
      </w:r>
      <w:r w:rsidR="00D8480D" w:rsidRPr="00483FFF">
        <w:rPr>
          <w:sz w:val="20"/>
          <w:szCs w:val="20"/>
        </w:rPr>
        <w:t>2</w:t>
      </w:r>
      <w:r w:rsidR="00E63A32" w:rsidRPr="00483FFF">
        <w:rPr>
          <w:sz w:val="20"/>
          <w:szCs w:val="20"/>
        </w:rPr>
        <w:t>660</w:t>
      </w:r>
    </w:p>
    <w:p w14:paraId="5DC7E5D9" w14:textId="51F766B8" w:rsidR="00E63A32" w:rsidRPr="00483FFF" w:rsidRDefault="00262257" w:rsidP="00483FFF">
      <w:pPr>
        <w:pStyle w:val="BodyText"/>
        <w:ind w:left="0"/>
        <w:jc w:val="center"/>
        <w:rPr>
          <w:sz w:val="20"/>
          <w:szCs w:val="20"/>
        </w:rPr>
      </w:pPr>
      <w:r w:rsidRPr="00483FFF">
        <w:rPr>
          <w:sz w:val="20"/>
          <w:szCs w:val="20"/>
        </w:rPr>
        <w:t xml:space="preserve">Direct Line: </w:t>
      </w:r>
      <w:r w:rsidR="00780FFB" w:rsidRPr="00483FFF">
        <w:rPr>
          <w:sz w:val="20"/>
          <w:szCs w:val="20"/>
        </w:rPr>
        <w:t>218</w:t>
      </w:r>
      <w:r w:rsidR="00EB3E33" w:rsidRPr="00483FFF">
        <w:rPr>
          <w:sz w:val="20"/>
          <w:szCs w:val="20"/>
        </w:rPr>
        <w:t>-399-3370</w:t>
      </w:r>
    </w:p>
    <w:p w14:paraId="1FE37D67" w14:textId="77777777" w:rsidR="00483FFF" w:rsidRDefault="00483FFF" w:rsidP="005122EE">
      <w:pPr>
        <w:pStyle w:val="BodyText"/>
        <w:ind w:left="0"/>
      </w:pPr>
    </w:p>
    <w:p w14:paraId="73C87BE1" w14:textId="494CBC60" w:rsidR="00D8480D" w:rsidRPr="0095246E" w:rsidRDefault="00D8480D" w:rsidP="005122EE">
      <w:pPr>
        <w:pStyle w:val="BodyText"/>
        <w:ind w:left="0"/>
      </w:pPr>
      <w:r w:rsidRPr="0095246E">
        <w:t>Once submitted, the quotes become the property of MPO.</w:t>
      </w:r>
    </w:p>
    <w:p w14:paraId="062CAF98" w14:textId="77777777" w:rsidR="00696E60" w:rsidRDefault="00696E60" w:rsidP="005122EE">
      <w:pPr>
        <w:ind w:left="0"/>
      </w:pPr>
    </w:p>
    <w:p w14:paraId="4C61C7CB" w14:textId="3A5C2200" w:rsidR="00696E60" w:rsidRPr="00117209" w:rsidRDefault="00696E60" w:rsidP="005122EE">
      <w:pPr>
        <w:ind w:left="0"/>
        <w:rPr>
          <w:b/>
          <w:bCs/>
          <w:sz w:val="32"/>
          <w:szCs w:val="32"/>
        </w:rPr>
      </w:pPr>
      <w:r w:rsidRPr="00117209">
        <w:rPr>
          <w:b/>
          <w:bCs/>
          <w:sz w:val="32"/>
          <w:szCs w:val="32"/>
        </w:rPr>
        <w:t>Table of Contents</w:t>
      </w:r>
    </w:p>
    <w:p w14:paraId="77BCE033" w14:textId="77777777" w:rsidR="00EF6AAF" w:rsidRPr="00117209" w:rsidRDefault="00EF6AAF" w:rsidP="005122EE">
      <w:pPr>
        <w:ind w:left="0"/>
        <w:rPr>
          <w:b/>
          <w:bCs/>
          <w:sz w:val="32"/>
          <w:szCs w:val="32"/>
        </w:rPr>
      </w:pPr>
    </w:p>
    <w:p w14:paraId="1EF9532A" w14:textId="5C865F79" w:rsidR="0052157C" w:rsidRPr="00117209" w:rsidRDefault="00434CF4">
      <w:pPr>
        <w:pStyle w:val="TOC1"/>
        <w:rPr>
          <w:rFonts w:asciiTheme="minorHAnsi" w:eastAsiaTheme="minorEastAsia" w:hAnsiTheme="minorHAnsi" w:cstheme="minorBidi"/>
          <w:noProof/>
          <w:color w:val="auto"/>
          <w:kern w:val="2"/>
          <w14:ligatures w14:val="standardContextual"/>
        </w:rPr>
      </w:pPr>
      <w:r w:rsidRPr="00117209">
        <w:fldChar w:fldCharType="begin"/>
      </w:r>
      <w:r w:rsidRPr="00117209">
        <w:instrText xml:space="preserve"> TOC \o "1-1" \h \z \t "Appendix Heading,1" </w:instrText>
      </w:r>
      <w:r w:rsidRPr="00117209">
        <w:fldChar w:fldCharType="separate"/>
      </w:r>
      <w:hyperlink w:anchor="_Toc193968939" w:history="1">
        <w:r w:rsidR="0052157C" w:rsidRPr="00117209">
          <w:rPr>
            <w:rStyle w:val="Hyperlink"/>
            <w:noProof/>
          </w:rPr>
          <w:t>I.</w:t>
        </w:r>
        <w:r w:rsidR="0052157C" w:rsidRPr="00117209">
          <w:rPr>
            <w:rFonts w:asciiTheme="minorHAnsi" w:eastAsiaTheme="minorEastAsia" w:hAnsiTheme="minorHAnsi" w:cstheme="minorBidi"/>
            <w:noProof/>
            <w:color w:val="auto"/>
            <w:kern w:val="2"/>
            <w14:ligatures w14:val="standardContextual"/>
          </w:rPr>
          <w:tab/>
        </w:r>
        <w:r w:rsidR="0052157C" w:rsidRPr="00117209">
          <w:rPr>
            <w:rStyle w:val="Hyperlink"/>
            <w:noProof/>
          </w:rPr>
          <w:t>Purpose of Request</w:t>
        </w:r>
        <w:r w:rsidR="0052157C" w:rsidRPr="00117209">
          <w:rPr>
            <w:noProof/>
            <w:webHidden/>
          </w:rPr>
          <w:tab/>
        </w:r>
        <w:r w:rsidR="0052157C" w:rsidRPr="00117209">
          <w:rPr>
            <w:noProof/>
            <w:webHidden/>
          </w:rPr>
          <w:fldChar w:fldCharType="begin"/>
        </w:r>
        <w:r w:rsidR="0052157C" w:rsidRPr="00117209">
          <w:rPr>
            <w:noProof/>
            <w:webHidden/>
          </w:rPr>
          <w:instrText xml:space="preserve"> PAGEREF _Toc193968939 \h </w:instrText>
        </w:r>
        <w:r w:rsidR="0052157C" w:rsidRPr="00117209">
          <w:rPr>
            <w:noProof/>
            <w:webHidden/>
          </w:rPr>
        </w:r>
        <w:r w:rsidR="0052157C" w:rsidRPr="00117209">
          <w:rPr>
            <w:noProof/>
            <w:webHidden/>
          </w:rPr>
          <w:fldChar w:fldCharType="separate"/>
        </w:r>
        <w:r w:rsidR="007D4ED0">
          <w:rPr>
            <w:noProof/>
            <w:webHidden/>
          </w:rPr>
          <w:t>4</w:t>
        </w:r>
        <w:r w:rsidR="0052157C" w:rsidRPr="00117209">
          <w:rPr>
            <w:noProof/>
            <w:webHidden/>
          </w:rPr>
          <w:fldChar w:fldCharType="end"/>
        </w:r>
      </w:hyperlink>
    </w:p>
    <w:p w14:paraId="5DF8243C" w14:textId="7CE39B39" w:rsidR="0052157C" w:rsidRPr="00117209" w:rsidRDefault="0052157C">
      <w:pPr>
        <w:pStyle w:val="TOC1"/>
        <w:rPr>
          <w:rFonts w:asciiTheme="minorHAnsi" w:eastAsiaTheme="minorEastAsia" w:hAnsiTheme="minorHAnsi" w:cstheme="minorBidi"/>
          <w:noProof/>
          <w:color w:val="auto"/>
          <w:kern w:val="2"/>
          <w14:ligatures w14:val="standardContextual"/>
        </w:rPr>
      </w:pPr>
      <w:hyperlink w:anchor="_Toc193968940" w:history="1">
        <w:r w:rsidRPr="00117209">
          <w:rPr>
            <w:rStyle w:val="Hyperlink"/>
            <w:noProof/>
          </w:rPr>
          <w:t>II.</w:t>
        </w:r>
        <w:r w:rsidRPr="00117209">
          <w:rPr>
            <w:rFonts w:asciiTheme="minorHAnsi" w:eastAsiaTheme="minorEastAsia" w:hAnsiTheme="minorHAnsi" w:cstheme="minorBidi"/>
            <w:noProof/>
            <w:color w:val="auto"/>
            <w:kern w:val="2"/>
            <w14:ligatures w14:val="standardContextual"/>
          </w:rPr>
          <w:tab/>
        </w:r>
        <w:r w:rsidRPr="00117209">
          <w:rPr>
            <w:rStyle w:val="Hyperlink"/>
            <w:noProof/>
          </w:rPr>
          <w:t>General Instructions</w:t>
        </w:r>
        <w:r w:rsidRPr="00117209">
          <w:rPr>
            <w:noProof/>
            <w:webHidden/>
          </w:rPr>
          <w:tab/>
        </w:r>
        <w:r w:rsidRPr="00117209">
          <w:rPr>
            <w:noProof/>
            <w:webHidden/>
          </w:rPr>
          <w:fldChar w:fldCharType="begin"/>
        </w:r>
        <w:r w:rsidRPr="00117209">
          <w:rPr>
            <w:noProof/>
            <w:webHidden/>
          </w:rPr>
          <w:instrText xml:space="preserve"> PAGEREF _Toc193968940 \h </w:instrText>
        </w:r>
        <w:r w:rsidRPr="00117209">
          <w:rPr>
            <w:noProof/>
            <w:webHidden/>
          </w:rPr>
        </w:r>
        <w:r w:rsidRPr="00117209">
          <w:rPr>
            <w:noProof/>
            <w:webHidden/>
          </w:rPr>
          <w:fldChar w:fldCharType="separate"/>
        </w:r>
        <w:r w:rsidR="007D4ED0">
          <w:rPr>
            <w:noProof/>
            <w:webHidden/>
          </w:rPr>
          <w:t>4</w:t>
        </w:r>
        <w:r w:rsidRPr="00117209">
          <w:rPr>
            <w:noProof/>
            <w:webHidden/>
          </w:rPr>
          <w:fldChar w:fldCharType="end"/>
        </w:r>
      </w:hyperlink>
    </w:p>
    <w:p w14:paraId="1392F18F" w14:textId="5FD6A615" w:rsidR="0052157C" w:rsidRPr="00117209" w:rsidRDefault="0052157C">
      <w:pPr>
        <w:pStyle w:val="TOC1"/>
        <w:rPr>
          <w:rFonts w:asciiTheme="minorHAnsi" w:eastAsiaTheme="minorEastAsia" w:hAnsiTheme="minorHAnsi" w:cstheme="minorBidi"/>
          <w:noProof/>
          <w:color w:val="auto"/>
          <w:kern w:val="2"/>
          <w14:ligatures w14:val="standardContextual"/>
        </w:rPr>
      </w:pPr>
      <w:hyperlink w:anchor="_Toc193968941" w:history="1">
        <w:r w:rsidRPr="00117209">
          <w:rPr>
            <w:rStyle w:val="Hyperlink"/>
            <w:noProof/>
          </w:rPr>
          <w:t>III.</w:t>
        </w:r>
        <w:r w:rsidRPr="00117209">
          <w:rPr>
            <w:rFonts w:asciiTheme="minorHAnsi" w:eastAsiaTheme="minorEastAsia" w:hAnsiTheme="minorHAnsi" w:cstheme="minorBidi"/>
            <w:noProof/>
            <w:color w:val="auto"/>
            <w:kern w:val="2"/>
            <w14:ligatures w14:val="standardContextual"/>
          </w:rPr>
          <w:tab/>
        </w:r>
        <w:r w:rsidR="009C2862" w:rsidRPr="00117209">
          <w:rPr>
            <w:rFonts w:asciiTheme="minorHAnsi" w:eastAsiaTheme="minorEastAsia" w:hAnsiTheme="minorHAnsi" w:cstheme="minorBidi"/>
            <w:noProof/>
            <w:color w:val="auto"/>
            <w:kern w:val="2"/>
            <w14:ligatures w14:val="standardContextual"/>
          </w:rPr>
          <w:t xml:space="preserve">Anticipated </w:t>
        </w:r>
        <w:r w:rsidRPr="00117209">
          <w:rPr>
            <w:rStyle w:val="Hyperlink"/>
            <w:noProof/>
          </w:rPr>
          <w:t>Preliminary Project Schedule</w:t>
        </w:r>
        <w:r w:rsidRPr="00117209">
          <w:rPr>
            <w:noProof/>
            <w:webHidden/>
          </w:rPr>
          <w:tab/>
        </w:r>
        <w:r w:rsidRPr="00117209">
          <w:rPr>
            <w:noProof/>
            <w:webHidden/>
          </w:rPr>
          <w:fldChar w:fldCharType="begin"/>
        </w:r>
        <w:r w:rsidRPr="00117209">
          <w:rPr>
            <w:noProof/>
            <w:webHidden/>
          </w:rPr>
          <w:instrText xml:space="preserve"> PAGEREF _Toc193968941 \h </w:instrText>
        </w:r>
        <w:r w:rsidRPr="00117209">
          <w:rPr>
            <w:noProof/>
            <w:webHidden/>
          </w:rPr>
        </w:r>
        <w:r w:rsidRPr="00117209">
          <w:rPr>
            <w:noProof/>
            <w:webHidden/>
          </w:rPr>
          <w:fldChar w:fldCharType="separate"/>
        </w:r>
        <w:r w:rsidR="007D4ED0">
          <w:rPr>
            <w:noProof/>
            <w:webHidden/>
          </w:rPr>
          <w:t>9</w:t>
        </w:r>
        <w:r w:rsidRPr="00117209">
          <w:rPr>
            <w:noProof/>
            <w:webHidden/>
          </w:rPr>
          <w:fldChar w:fldCharType="end"/>
        </w:r>
      </w:hyperlink>
    </w:p>
    <w:p w14:paraId="0749B3AC" w14:textId="63ECCE99" w:rsidR="0052157C" w:rsidRPr="00117209" w:rsidRDefault="0052157C">
      <w:pPr>
        <w:pStyle w:val="TOC1"/>
        <w:rPr>
          <w:rFonts w:asciiTheme="minorHAnsi" w:eastAsiaTheme="minorEastAsia" w:hAnsiTheme="minorHAnsi" w:cstheme="minorBidi"/>
          <w:noProof/>
          <w:color w:val="auto"/>
          <w:kern w:val="2"/>
          <w14:ligatures w14:val="standardContextual"/>
        </w:rPr>
      </w:pPr>
      <w:hyperlink w:anchor="_Toc193968942" w:history="1">
        <w:r w:rsidRPr="00117209">
          <w:rPr>
            <w:rStyle w:val="Hyperlink"/>
            <w:noProof/>
          </w:rPr>
          <w:t>IV.</w:t>
        </w:r>
        <w:r w:rsidRPr="00117209">
          <w:rPr>
            <w:rFonts w:asciiTheme="minorHAnsi" w:eastAsiaTheme="minorEastAsia" w:hAnsiTheme="minorHAnsi" w:cstheme="minorBidi"/>
            <w:noProof/>
            <w:color w:val="auto"/>
            <w:kern w:val="2"/>
            <w14:ligatures w14:val="standardContextual"/>
          </w:rPr>
          <w:tab/>
        </w:r>
        <w:r w:rsidRPr="00117209">
          <w:rPr>
            <w:rStyle w:val="Hyperlink"/>
            <w:noProof/>
          </w:rPr>
          <w:t>RFP Evaluation Criteria &amp; Process</w:t>
        </w:r>
        <w:r w:rsidRPr="00117209">
          <w:rPr>
            <w:noProof/>
            <w:webHidden/>
          </w:rPr>
          <w:tab/>
        </w:r>
        <w:r w:rsidRPr="00117209">
          <w:rPr>
            <w:noProof/>
            <w:webHidden/>
          </w:rPr>
          <w:fldChar w:fldCharType="begin"/>
        </w:r>
        <w:r w:rsidRPr="00117209">
          <w:rPr>
            <w:noProof/>
            <w:webHidden/>
          </w:rPr>
          <w:instrText xml:space="preserve"> PAGEREF _Toc193968942 \h </w:instrText>
        </w:r>
        <w:r w:rsidRPr="00117209">
          <w:rPr>
            <w:noProof/>
            <w:webHidden/>
          </w:rPr>
        </w:r>
        <w:r w:rsidRPr="00117209">
          <w:rPr>
            <w:noProof/>
            <w:webHidden/>
          </w:rPr>
          <w:fldChar w:fldCharType="separate"/>
        </w:r>
        <w:r w:rsidR="007D4ED0">
          <w:rPr>
            <w:noProof/>
            <w:webHidden/>
          </w:rPr>
          <w:t>10</w:t>
        </w:r>
        <w:r w:rsidRPr="00117209">
          <w:rPr>
            <w:noProof/>
            <w:webHidden/>
          </w:rPr>
          <w:fldChar w:fldCharType="end"/>
        </w:r>
      </w:hyperlink>
    </w:p>
    <w:p w14:paraId="317E9438" w14:textId="438FD40D" w:rsidR="0052157C" w:rsidRPr="00117209" w:rsidRDefault="0052157C">
      <w:pPr>
        <w:pStyle w:val="TOC1"/>
        <w:rPr>
          <w:rFonts w:asciiTheme="minorHAnsi" w:eastAsiaTheme="minorEastAsia" w:hAnsiTheme="minorHAnsi" w:cstheme="minorBidi"/>
          <w:noProof/>
          <w:color w:val="auto"/>
          <w:kern w:val="2"/>
          <w14:ligatures w14:val="standardContextual"/>
        </w:rPr>
      </w:pPr>
      <w:hyperlink w:anchor="_Toc193968943" w:history="1">
        <w:r w:rsidRPr="00117209">
          <w:rPr>
            <w:rStyle w:val="Hyperlink"/>
            <w:noProof/>
          </w:rPr>
          <w:t>V.</w:t>
        </w:r>
        <w:r w:rsidRPr="00117209">
          <w:rPr>
            <w:rFonts w:asciiTheme="minorHAnsi" w:eastAsiaTheme="minorEastAsia" w:hAnsiTheme="minorHAnsi" w:cstheme="minorBidi"/>
            <w:noProof/>
            <w:color w:val="auto"/>
            <w:kern w:val="2"/>
            <w14:ligatures w14:val="standardContextual"/>
          </w:rPr>
          <w:tab/>
        </w:r>
        <w:r w:rsidRPr="00117209">
          <w:rPr>
            <w:rStyle w:val="Hyperlink"/>
            <w:noProof/>
          </w:rPr>
          <w:t>Terms and Conditions</w:t>
        </w:r>
        <w:r w:rsidRPr="00117209">
          <w:rPr>
            <w:noProof/>
            <w:webHidden/>
          </w:rPr>
          <w:tab/>
        </w:r>
        <w:r w:rsidRPr="00117209">
          <w:rPr>
            <w:noProof/>
            <w:webHidden/>
          </w:rPr>
          <w:fldChar w:fldCharType="begin"/>
        </w:r>
        <w:r w:rsidRPr="00117209">
          <w:rPr>
            <w:noProof/>
            <w:webHidden/>
          </w:rPr>
          <w:instrText xml:space="preserve"> PAGEREF _Toc193968943 \h </w:instrText>
        </w:r>
        <w:r w:rsidRPr="00117209">
          <w:rPr>
            <w:noProof/>
            <w:webHidden/>
          </w:rPr>
        </w:r>
        <w:r w:rsidRPr="00117209">
          <w:rPr>
            <w:noProof/>
            <w:webHidden/>
          </w:rPr>
          <w:fldChar w:fldCharType="separate"/>
        </w:r>
        <w:r w:rsidR="007D4ED0">
          <w:rPr>
            <w:noProof/>
            <w:webHidden/>
          </w:rPr>
          <w:t>11</w:t>
        </w:r>
        <w:r w:rsidRPr="00117209">
          <w:rPr>
            <w:noProof/>
            <w:webHidden/>
          </w:rPr>
          <w:fldChar w:fldCharType="end"/>
        </w:r>
      </w:hyperlink>
    </w:p>
    <w:p w14:paraId="5197B9EC" w14:textId="0847A0FB" w:rsidR="0052157C" w:rsidRPr="00117209" w:rsidRDefault="0052157C">
      <w:pPr>
        <w:pStyle w:val="TOC1"/>
        <w:rPr>
          <w:rFonts w:asciiTheme="minorHAnsi" w:eastAsiaTheme="minorEastAsia" w:hAnsiTheme="minorHAnsi" w:cstheme="minorBidi"/>
          <w:noProof/>
          <w:color w:val="auto"/>
          <w:kern w:val="2"/>
          <w14:ligatures w14:val="standardContextual"/>
        </w:rPr>
      </w:pPr>
      <w:hyperlink w:anchor="_Toc193968945" w:history="1">
        <w:r w:rsidRPr="00117209">
          <w:rPr>
            <w:rStyle w:val="Hyperlink"/>
            <w:noProof/>
          </w:rPr>
          <w:t>VI.</w:t>
        </w:r>
        <w:r w:rsidRPr="00117209">
          <w:rPr>
            <w:rFonts w:asciiTheme="minorHAnsi" w:eastAsiaTheme="minorEastAsia" w:hAnsiTheme="minorHAnsi" w:cstheme="minorBidi"/>
            <w:noProof/>
            <w:color w:val="auto"/>
            <w:kern w:val="2"/>
            <w14:ligatures w14:val="standardContextual"/>
          </w:rPr>
          <w:tab/>
        </w:r>
        <w:r w:rsidRPr="00117209">
          <w:rPr>
            <w:rStyle w:val="Hyperlink"/>
            <w:noProof/>
          </w:rPr>
          <w:t>Background and Scope of Work</w:t>
        </w:r>
        <w:r w:rsidRPr="00117209">
          <w:rPr>
            <w:noProof/>
            <w:webHidden/>
          </w:rPr>
          <w:tab/>
        </w:r>
        <w:r w:rsidRPr="00117209">
          <w:rPr>
            <w:noProof/>
            <w:webHidden/>
          </w:rPr>
          <w:fldChar w:fldCharType="begin"/>
        </w:r>
        <w:r w:rsidRPr="00117209">
          <w:rPr>
            <w:noProof/>
            <w:webHidden/>
          </w:rPr>
          <w:instrText xml:space="preserve"> PAGEREF _Toc193968945 \h </w:instrText>
        </w:r>
        <w:r w:rsidRPr="00117209">
          <w:rPr>
            <w:noProof/>
            <w:webHidden/>
          </w:rPr>
        </w:r>
        <w:r w:rsidRPr="00117209">
          <w:rPr>
            <w:noProof/>
            <w:webHidden/>
          </w:rPr>
          <w:fldChar w:fldCharType="separate"/>
        </w:r>
        <w:r w:rsidR="007D4ED0">
          <w:rPr>
            <w:noProof/>
            <w:webHidden/>
          </w:rPr>
          <w:t>12</w:t>
        </w:r>
        <w:r w:rsidRPr="00117209">
          <w:rPr>
            <w:noProof/>
            <w:webHidden/>
          </w:rPr>
          <w:fldChar w:fldCharType="end"/>
        </w:r>
      </w:hyperlink>
    </w:p>
    <w:p w14:paraId="44C47484" w14:textId="0179FCD8" w:rsidR="0052157C" w:rsidRPr="00117209" w:rsidRDefault="0052157C">
      <w:pPr>
        <w:pStyle w:val="TOC1"/>
        <w:rPr>
          <w:rFonts w:asciiTheme="minorHAnsi" w:eastAsiaTheme="minorEastAsia" w:hAnsiTheme="minorHAnsi" w:cstheme="minorBidi"/>
          <w:noProof/>
          <w:color w:val="auto"/>
          <w:kern w:val="2"/>
          <w14:ligatures w14:val="standardContextual"/>
        </w:rPr>
      </w:pPr>
      <w:hyperlink w:anchor="_Toc193968946" w:history="1">
        <w:r w:rsidRPr="00117209">
          <w:rPr>
            <w:rStyle w:val="Hyperlink"/>
            <w:noProof/>
          </w:rPr>
          <w:t>VII.</w:t>
        </w:r>
        <w:r w:rsidRPr="00117209">
          <w:rPr>
            <w:rFonts w:asciiTheme="minorHAnsi" w:eastAsiaTheme="minorEastAsia" w:hAnsiTheme="minorHAnsi" w:cstheme="minorBidi"/>
            <w:noProof/>
            <w:color w:val="auto"/>
            <w:kern w:val="2"/>
            <w14:ligatures w14:val="standardContextual"/>
          </w:rPr>
          <w:tab/>
        </w:r>
        <w:r w:rsidRPr="00117209">
          <w:rPr>
            <w:rStyle w:val="Hyperlink"/>
            <w:noProof/>
          </w:rPr>
          <w:t>Information Available for Consultant</w:t>
        </w:r>
        <w:r w:rsidRPr="00117209">
          <w:rPr>
            <w:noProof/>
            <w:webHidden/>
          </w:rPr>
          <w:tab/>
        </w:r>
        <w:r w:rsidR="00117209" w:rsidRPr="00117209">
          <w:rPr>
            <w:noProof/>
            <w:webHidden/>
          </w:rPr>
          <w:t>24</w:t>
        </w:r>
      </w:hyperlink>
    </w:p>
    <w:p w14:paraId="3FB6C75E" w14:textId="0ADF50AA" w:rsidR="0052157C" w:rsidRPr="00117209" w:rsidRDefault="009C2862">
      <w:pPr>
        <w:pStyle w:val="TOC1"/>
        <w:rPr>
          <w:rFonts w:asciiTheme="minorHAnsi" w:eastAsiaTheme="minorEastAsia" w:hAnsiTheme="minorHAnsi" w:cstheme="minorBidi"/>
          <w:noProof/>
          <w:color w:val="auto"/>
          <w:kern w:val="2"/>
          <w14:ligatures w14:val="standardContextual"/>
        </w:rPr>
      </w:pPr>
      <w:hyperlink w:anchor="_Toc193968947" w:history="1">
        <w:r w:rsidRPr="00117209">
          <w:rPr>
            <w:rStyle w:val="Hyperlink"/>
            <w:noProof/>
          </w:rPr>
          <w:t>VIII</w:t>
        </w:r>
        <w:r w:rsidR="0052157C" w:rsidRPr="00117209">
          <w:rPr>
            <w:rStyle w:val="Hyperlink"/>
            <w:noProof/>
          </w:rPr>
          <w:t>.</w:t>
        </w:r>
        <w:r w:rsidR="0052157C" w:rsidRPr="00117209">
          <w:rPr>
            <w:rFonts w:asciiTheme="minorHAnsi" w:eastAsiaTheme="minorEastAsia" w:hAnsiTheme="minorHAnsi" w:cstheme="minorBidi"/>
            <w:noProof/>
            <w:color w:val="auto"/>
            <w:kern w:val="2"/>
            <w14:ligatures w14:val="standardContextual"/>
          </w:rPr>
          <w:tab/>
        </w:r>
        <w:r w:rsidR="0052157C" w:rsidRPr="00117209">
          <w:rPr>
            <w:rStyle w:val="Hyperlink"/>
            <w:noProof/>
          </w:rPr>
          <w:t>Map of Project Area</w:t>
        </w:r>
        <w:r w:rsidR="0052157C" w:rsidRPr="00117209">
          <w:rPr>
            <w:noProof/>
            <w:webHidden/>
          </w:rPr>
          <w:tab/>
        </w:r>
        <w:r w:rsidR="00117209" w:rsidRPr="00117209">
          <w:rPr>
            <w:noProof/>
            <w:webHidden/>
          </w:rPr>
          <w:t>2</w:t>
        </w:r>
        <w:r w:rsidR="00556D5B">
          <w:rPr>
            <w:noProof/>
            <w:webHidden/>
          </w:rPr>
          <w:t>6</w:t>
        </w:r>
      </w:hyperlink>
    </w:p>
    <w:p w14:paraId="620B2BB3" w14:textId="00948FE3" w:rsidR="0052157C" w:rsidRPr="00117209" w:rsidRDefault="0052157C">
      <w:pPr>
        <w:pStyle w:val="TOC1"/>
        <w:rPr>
          <w:rFonts w:asciiTheme="minorHAnsi" w:eastAsiaTheme="minorEastAsia" w:hAnsiTheme="minorHAnsi" w:cstheme="minorBidi"/>
          <w:noProof/>
          <w:color w:val="auto"/>
          <w:kern w:val="2"/>
          <w14:ligatures w14:val="standardContextual"/>
        </w:rPr>
      </w:pPr>
      <w:hyperlink w:anchor="_Toc193968948" w:history="1">
        <w:r w:rsidRPr="00117209">
          <w:rPr>
            <w:rStyle w:val="Hyperlink"/>
            <w:noProof/>
            <w:lang w:bidi="en-US"/>
          </w:rPr>
          <w:t>Appendix A: Attachments to Be Filled Out</w:t>
        </w:r>
        <w:r w:rsidRPr="00117209">
          <w:rPr>
            <w:noProof/>
            <w:webHidden/>
          </w:rPr>
          <w:tab/>
        </w:r>
        <w:r w:rsidR="00117209" w:rsidRPr="00117209">
          <w:rPr>
            <w:noProof/>
            <w:webHidden/>
          </w:rPr>
          <w:t>2</w:t>
        </w:r>
        <w:r w:rsidR="00556D5B">
          <w:rPr>
            <w:noProof/>
            <w:webHidden/>
          </w:rPr>
          <w:t>7</w:t>
        </w:r>
      </w:hyperlink>
    </w:p>
    <w:p w14:paraId="619867F6" w14:textId="3E1A6AC2" w:rsidR="0052157C" w:rsidRPr="00117209" w:rsidRDefault="0052157C">
      <w:pPr>
        <w:pStyle w:val="TOC1"/>
        <w:rPr>
          <w:rFonts w:asciiTheme="minorHAnsi" w:eastAsiaTheme="minorEastAsia" w:hAnsiTheme="minorHAnsi" w:cstheme="minorBidi"/>
          <w:noProof/>
          <w:color w:val="auto"/>
          <w:kern w:val="2"/>
          <w14:ligatures w14:val="standardContextual"/>
        </w:rPr>
      </w:pPr>
      <w:hyperlink w:anchor="_Toc193968949" w:history="1">
        <w:r w:rsidRPr="00117209">
          <w:rPr>
            <w:rStyle w:val="Hyperlink"/>
            <w:noProof/>
            <w:lang w:bidi="en-US"/>
          </w:rPr>
          <w:t>Appendix B: Cost Proposal</w:t>
        </w:r>
        <w:r w:rsidRPr="00117209">
          <w:rPr>
            <w:noProof/>
            <w:webHidden/>
          </w:rPr>
          <w:tab/>
        </w:r>
        <w:r w:rsidR="00117209" w:rsidRPr="00117209">
          <w:rPr>
            <w:noProof/>
            <w:webHidden/>
          </w:rPr>
          <w:t>3</w:t>
        </w:r>
        <w:r w:rsidR="00556D5B">
          <w:rPr>
            <w:noProof/>
            <w:webHidden/>
          </w:rPr>
          <w:t>2</w:t>
        </w:r>
      </w:hyperlink>
    </w:p>
    <w:p w14:paraId="4299BCEB" w14:textId="4FB7FFFF" w:rsidR="00696E60" w:rsidRDefault="00434CF4" w:rsidP="005122EE">
      <w:pPr>
        <w:ind w:left="0"/>
      </w:pPr>
      <w:r w:rsidRPr="00117209">
        <w:rPr>
          <w:rFonts w:ascii="Calibri" w:hAnsi="Calibri"/>
        </w:rPr>
        <w:fldChar w:fldCharType="end"/>
      </w:r>
      <w:r w:rsidR="00556D5B" w:rsidRPr="008818EF">
        <w:rPr>
          <w:rFonts w:ascii="Calibri" w:hAnsi="Calibri"/>
        </w:rPr>
        <w:t>Appendix C: Required Contract Provisions……………………………………………………………………………………………. 35</w:t>
      </w:r>
    </w:p>
    <w:p w14:paraId="2BC59B79" w14:textId="77777777" w:rsidR="00696E60" w:rsidRDefault="00696E60" w:rsidP="005122EE">
      <w:pPr>
        <w:ind w:left="0"/>
      </w:pPr>
    </w:p>
    <w:p w14:paraId="730DFF41" w14:textId="77777777" w:rsidR="00696E60" w:rsidRDefault="00696E60" w:rsidP="005122EE">
      <w:pPr>
        <w:ind w:left="0"/>
      </w:pPr>
    </w:p>
    <w:p w14:paraId="34D7B9F7" w14:textId="77777777" w:rsidR="00320CA4" w:rsidRDefault="00320CA4" w:rsidP="005122EE">
      <w:pPr>
        <w:pStyle w:val="BodyText"/>
        <w:ind w:left="0"/>
      </w:pPr>
    </w:p>
    <w:p w14:paraId="28207DF3" w14:textId="77777777" w:rsidR="00320CA4" w:rsidRDefault="00320CA4" w:rsidP="005122EE">
      <w:pPr>
        <w:pStyle w:val="BodyText"/>
        <w:ind w:left="0"/>
      </w:pPr>
    </w:p>
    <w:p w14:paraId="0A872458" w14:textId="77777777" w:rsidR="00320CA4" w:rsidRDefault="00320CA4" w:rsidP="005122EE">
      <w:pPr>
        <w:pStyle w:val="BodyText"/>
        <w:ind w:left="0"/>
      </w:pPr>
    </w:p>
    <w:p w14:paraId="32313EB7" w14:textId="77777777" w:rsidR="00320CA4" w:rsidRDefault="00320CA4" w:rsidP="005122EE">
      <w:pPr>
        <w:pStyle w:val="BodyText"/>
        <w:ind w:left="0"/>
      </w:pPr>
    </w:p>
    <w:p w14:paraId="78AAF62A" w14:textId="77777777" w:rsidR="00320CA4" w:rsidRDefault="00320CA4" w:rsidP="005122EE">
      <w:pPr>
        <w:pStyle w:val="BodyText"/>
        <w:ind w:left="0"/>
      </w:pPr>
    </w:p>
    <w:p w14:paraId="4D9D6B4E" w14:textId="77777777" w:rsidR="00320CA4" w:rsidRDefault="00320CA4" w:rsidP="005122EE">
      <w:pPr>
        <w:pStyle w:val="BodyText"/>
        <w:ind w:left="0"/>
      </w:pPr>
    </w:p>
    <w:p w14:paraId="14795BE0" w14:textId="77777777" w:rsidR="00320CA4" w:rsidRDefault="00320CA4" w:rsidP="005122EE">
      <w:pPr>
        <w:pStyle w:val="BodyText"/>
        <w:ind w:left="0"/>
      </w:pPr>
    </w:p>
    <w:p w14:paraId="6D76D6BB" w14:textId="77777777" w:rsidR="00320CA4" w:rsidRDefault="00320CA4" w:rsidP="005122EE">
      <w:pPr>
        <w:pStyle w:val="BodyText"/>
        <w:ind w:left="0"/>
      </w:pPr>
    </w:p>
    <w:p w14:paraId="654685C5" w14:textId="77777777" w:rsidR="00320CA4" w:rsidRDefault="00320CA4" w:rsidP="005122EE">
      <w:pPr>
        <w:pStyle w:val="BodyText"/>
        <w:ind w:left="0"/>
      </w:pPr>
    </w:p>
    <w:p w14:paraId="18ADCEF6" w14:textId="77777777" w:rsidR="00320CA4" w:rsidRDefault="00320CA4" w:rsidP="005122EE">
      <w:pPr>
        <w:pStyle w:val="BodyText"/>
        <w:ind w:left="0"/>
      </w:pPr>
    </w:p>
    <w:p w14:paraId="3B26BDA0" w14:textId="77777777" w:rsidR="00320CA4" w:rsidRDefault="00320CA4" w:rsidP="005122EE">
      <w:pPr>
        <w:pStyle w:val="BodyText"/>
        <w:ind w:left="0"/>
      </w:pPr>
    </w:p>
    <w:p w14:paraId="7A4E3EA0" w14:textId="77777777" w:rsidR="00320CA4" w:rsidRDefault="00320CA4" w:rsidP="005122EE">
      <w:pPr>
        <w:pStyle w:val="BodyText"/>
        <w:ind w:left="0"/>
      </w:pPr>
    </w:p>
    <w:p w14:paraId="035FD6AE" w14:textId="77777777" w:rsidR="00320CA4" w:rsidRDefault="00320CA4" w:rsidP="005122EE">
      <w:pPr>
        <w:pStyle w:val="BodyText"/>
        <w:ind w:left="0"/>
      </w:pPr>
    </w:p>
    <w:p w14:paraId="485762B5" w14:textId="77777777" w:rsidR="00320CA4" w:rsidRDefault="00320CA4" w:rsidP="005122EE">
      <w:pPr>
        <w:pStyle w:val="BodyText"/>
        <w:ind w:left="0"/>
      </w:pPr>
    </w:p>
    <w:p w14:paraId="567DD56A" w14:textId="2377F0CD" w:rsidR="007314DD" w:rsidRDefault="007314DD" w:rsidP="00DD6983">
      <w:pPr>
        <w:rPr>
          <w:rFonts w:ascii="Times New Roman" w:eastAsia="Times New Roman" w:hAnsi="Times New Roman" w:cs="Times New Roman"/>
          <w:lang w:bidi="en-US"/>
        </w:rPr>
      </w:pPr>
      <w:r>
        <w:br w:type="page"/>
      </w:r>
    </w:p>
    <w:p w14:paraId="68C27B2E" w14:textId="6FCE0483" w:rsidR="00320CA4" w:rsidRPr="00DF1640" w:rsidRDefault="00320CA4" w:rsidP="00DF1640">
      <w:pPr>
        <w:pStyle w:val="BodyText"/>
        <w:ind w:left="0"/>
        <w:jc w:val="center"/>
        <w:rPr>
          <w:b/>
          <w:bCs/>
        </w:rPr>
      </w:pPr>
      <w:r w:rsidRPr="00DF1640">
        <w:rPr>
          <w:b/>
          <w:bCs/>
        </w:rPr>
        <w:lastRenderedPageBreak/>
        <w:t>REQUEST FOR PROPOSALS FOR</w:t>
      </w:r>
    </w:p>
    <w:p w14:paraId="30837783" w14:textId="607FB2C4" w:rsidR="00320CA4" w:rsidRPr="00DF1640" w:rsidRDefault="00320CA4" w:rsidP="00DF1640">
      <w:pPr>
        <w:pStyle w:val="BodyText"/>
        <w:ind w:left="0"/>
        <w:jc w:val="center"/>
        <w:rPr>
          <w:b/>
          <w:bCs/>
        </w:rPr>
      </w:pPr>
      <w:r w:rsidRPr="00DF1640">
        <w:rPr>
          <w:b/>
          <w:bCs/>
        </w:rPr>
        <w:t>TRANSPORTATION PLANNING SERVICES</w:t>
      </w:r>
    </w:p>
    <w:p w14:paraId="7AC64048" w14:textId="1DF9F2B4" w:rsidR="00130AAD" w:rsidRPr="008818EF" w:rsidRDefault="00130AAD" w:rsidP="00DD6983">
      <w:pPr>
        <w:pStyle w:val="BodyText"/>
        <w:rPr>
          <w:color w:val="auto"/>
        </w:rPr>
      </w:pPr>
    </w:p>
    <w:p w14:paraId="6282E421" w14:textId="33C6282B" w:rsidR="00C7348B" w:rsidRPr="008818EF" w:rsidRDefault="00F85B67" w:rsidP="0062045D">
      <w:pPr>
        <w:pStyle w:val="Heading1"/>
        <w:spacing w:before="0"/>
        <w:rPr>
          <w:color w:val="auto"/>
        </w:rPr>
      </w:pPr>
      <w:bookmarkStart w:id="3" w:name="_Toc172279719"/>
      <w:bookmarkStart w:id="4" w:name="_Toc193968939"/>
      <w:r w:rsidRPr="008818EF">
        <w:rPr>
          <w:color w:val="auto"/>
        </w:rPr>
        <w:t>Purpose of Request</w:t>
      </w:r>
      <w:bookmarkEnd w:id="3"/>
      <w:bookmarkEnd w:id="4"/>
    </w:p>
    <w:p w14:paraId="27385A43" w14:textId="3C71C5A2" w:rsidR="00620277" w:rsidRDefault="00F85B67" w:rsidP="00EE5A48">
      <w:pPr>
        <w:pStyle w:val="BodyText"/>
        <w:ind w:left="720"/>
      </w:pPr>
      <w:r w:rsidRPr="00F85B67">
        <w:t>The</w:t>
      </w:r>
      <w:r w:rsidR="00666F48">
        <w:t xml:space="preserve"> </w:t>
      </w:r>
      <w:r w:rsidRPr="00F85B67">
        <w:t>MPO requests</w:t>
      </w:r>
      <w:r>
        <w:t xml:space="preserve"> proposals from qualified consultants for the following project:</w:t>
      </w:r>
    </w:p>
    <w:p w14:paraId="74BE6CBE" w14:textId="485EA81D" w:rsidR="006064CA" w:rsidRDefault="006064CA" w:rsidP="00EE5A48">
      <w:pPr>
        <w:pStyle w:val="BodyText"/>
        <w:ind w:left="720"/>
      </w:pPr>
    </w:p>
    <w:p w14:paraId="0EC4F1D1" w14:textId="79894242" w:rsidR="006064CA" w:rsidRPr="008818EF" w:rsidRDefault="004D0BF9" w:rsidP="00EE5A48">
      <w:pPr>
        <w:pStyle w:val="BodyText"/>
        <w:ind w:left="720"/>
        <w:jc w:val="center"/>
        <w:rPr>
          <w:rStyle w:val="eop"/>
          <w:rFonts w:eastAsiaTheme="majorEastAsia"/>
          <w:shd w:val="clear" w:color="auto" w:fill="FFFFFF"/>
        </w:rPr>
      </w:pPr>
      <w:r w:rsidRPr="008818EF">
        <w:rPr>
          <w:rStyle w:val="normaltextrun"/>
          <w:rFonts w:eastAsiaTheme="majorEastAsia"/>
          <w:b/>
          <w:bCs/>
          <w:shd w:val="clear" w:color="auto" w:fill="FFFFFF"/>
        </w:rPr>
        <w:t xml:space="preserve">The </w:t>
      </w:r>
      <w:r w:rsidR="007E6E19" w:rsidRPr="008818EF">
        <w:rPr>
          <w:rStyle w:val="normaltextrun"/>
          <w:rFonts w:eastAsiaTheme="majorEastAsia"/>
          <w:b/>
          <w:bCs/>
          <w:shd w:val="clear" w:color="auto" w:fill="FFFFFF"/>
        </w:rPr>
        <w:t>MPO</w:t>
      </w:r>
      <w:r w:rsidR="00B167F9" w:rsidRPr="008818EF">
        <w:rPr>
          <w:rStyle w:val="normaltextrun"/>
          <w:rFonts w:eastAsiaTheme="majorEastAsia"/>
          <w:b/>
          <w:bCs/>
          <w:shd w:val="clear" w:color="auto" w:fill="FFFFFF"/>
        </w:rPr>
        <w:t xml:space="preserve"> </w:t>
      </w:r>
      <w:r w:rsidR="00212D72" w:rsidRPr="008818EF">
        <w:rPr>
          <w:rStyle w:val="normaltextrun"/>
          <w:rFonts w:eastAsiaTheme="majorEastAsia"/>
          <w:b/>
          <w:bCs/>
          <w:shd w:val="clear" w:color="auto" w:fill="FFFFFF"/>
        </w:rPr>
        <w:t>MTP/TDP</w:t>
      </w:r>
    </w:p>
    <w:p w14:paraId="45F2DDB6" w14:textId="77777777" w:rsidR="00A611FC" w:rsidRPr="006064CA" w:rsidRDefault="00A611FC" w:rsidP="00EE5A48">
      <w:pPr>
        <w:pStyle w:val="BodyText"/>
        <w:ind w:left="720"/>
      </w:pPr>
    </w:p>
    <w:p w14:paraId="0EF9F1A2" w14:textId="394150A9" w:rsidR="00DB5D0C" w:rsidRPr="00975A04" w:rsidRDefault="117CB8DF" w:rsidP="00EE5A48">
      <w:pPr>
        <w:pStyle w:val="BodyText"/>
        <w:ind w:left="720"/>
        <w:rPr>
          <w:sz w:val="22"/>
          <w:szCs w:val="22"/>
        </w:rPr>
      </w:pPr>
      <w:r w:rsidRPr="0868C5BF">
        <w:t xml:space="preserve">The purpose of this Request for Proposals (RFP) is to </w:t>
      </w:r>
      <w:r w:rsidR="06AE6871" w:rsidRPr="0868C5BF">
        <w:t xml:space="preserve">provide </w:t>
      </w:r>
      <w:r w:rsidR="5049197B" w:rsidRPr="0868C5BF">
        <w:t xml:space="preserve">an </w:t>
      </w:r>
      <w:bookmarkStart w:id="5" w:name="_Int_f3CaGOba"/>
      <w:r w:rsidR="5049197B" w:rsidRPr="0868C5BF">
        <w:t>interested</w:t>
      </w:r>
      <w:bookmarkEnd w:id="5"/>
      <w:r w:rsidR="06AE6871" w:rsidRPr="0868C5BF">
        <w:t xml:space="preserve"> consulting firm with enough information about the professional services desired by the MPO.</w:t>
      </w:r>
    </w:p>
    <w:p w14:paraId="7D17F480" w14:textId="77777777" w:rsidR="00975A04" w:rsidRPr="00DB5D0C" w:rsidRDefault="00975A04" w:rsidP="00EE5A48">
      <w:pPr>
        <w:pStyle w:val="BodyText"/>
        <w:ind w:left="720"/>
      </w:pPr>
    </w:p>
    <w:p w14:paraId="4AB85856" w14:textId="7FA5AB5E" w:rsidR="006C7D1D" w:rsidRPr="008818EF" w:rsidRDefault="0EA01FED" w:rsidP="00EE5A48">
      <w:pPr>
        <w:pStyle w:val="BodyText"/>
        <w:ind w:left="720"/>
        <w:rPr>
          <w:color w:val="auto"/>
          <w:sz w:val="22"/>
          <w:szCs w:val="22"/>
        </w:rPr>
      </w:pPr>
      <w:r w:rsidRPr="0868C5BF">
        <w:t xml:space="preserve">A selection </w:t>
      </w:r>
      <w:r w:rsidR="72E73E6E" w:rsidRPr="0868C5BF">
        <w:t xml:space="preserve">committee will rank submittals from responding consultants. Upon completion of the rankings, the MPO will </w:t>
      </w:r>
      <w:proofErr w:type="gramStart"/>
      <w:r w:rsidR="72E73E6E" w:rsidRPr="0868C5BF">
        <w:t>enter into</w:t>
      </w:r>
      <w:proofErr w:type="gramEnd"/>
      <w:r w:rsidR="72E73E6E" w:rsidRPr="0868C5BF">
        <w:t xml:space="preserve"> contract negotiations with the top ranked firm. Sealed cost proposals will be required with the RFP. The cost proposals of the </w:t>
      </w:r>
      <w:r w:rsidR="5049197B" w:rsidRPr="0868C5BF">
        <w:t>top-ranked</w:t>
      </w:r>
      <w:r w:rsidR="72E73E6E" w:rsidRPr="0868C5BF">
        <w:t xml:space="preserve"> firm will be </w:t>
      </w:r>
      <w:bookmarkStart w:id="6" w:name="_Int_dnvAvw4e"/>
      <w:r w:rsidR="72E73E6E" w:rsidRPr="0868C5BF">
        <w:t>opened</w:t>
      </w:r>
      <w:bookmarkEnd w:id="6"/>
      <w:r w:rsidR="72E73E6E" w:rsidRPr="0868C5BF">
        <w:t xml:space="preserve"> during contract negotiations. The MPO reserves the right to reject </w:t>
      </w:r>
      <w:proofErr w:type="gramStart"/>
      <w:r w:rsidR="72E73E6E" w:rsidRPr="0868C5BF">
        <w:t>an</w:t>
      </w:r>
      <w:r w:rsidR="6FE8AAFD" w:rsidRPr="0868C5BF">
        <w:t>y</w:t>
      </w:r>
      <w:r w:rsidR="72E73E6E" w:rsidRPr="0868C5BF">
        <w:t xml:space="preserve"> and all</w:t>
      </w:r>
      <w:proofErr w:type="gramEnd"/>
      <w:r w:rsidR="72E73E6E" w:rsidRPr="0868C5BF">
        <w:t xml:space="preserve"> submittals</w:t>
      </w:r>
      <w:r w:rsidR="6FE8AAFD" w:rsidRPr="0868C5BF">
        <w:t>.</w:t>
      </w:r>
    </w:p>
    <w:p w14:paraId="715FF0AC" w14:textId="6B4BD4D1" w:rsidR="00640D50" w:rsidRPr="008818EF" w:rsidRDefault="00640D50" w:rsidP="00986403">
      <w:pPr>
        <w:pStyle w:val="Heading1"/>
        <w:rPr>
          <w:color w:val="auto"/>
        </w:rPr>
      </w:pPr>
      <w:bookmarkStart w:id="7" w:name="_Toc172279720"/>
      <w:bookmarkStart w:id="8" w:name="_Toc193968940"/>
      <w:r w:rsidRPr="008818EF">
        <w:rPr>
          <w:color w:val="auto"/>
        </w:rPr>
        <w:t>General Instructions</w:t>
      </w:r>
      <w:bookmarkEnd w:id="7"/>
      <w:bookmarkEnd w:id="8"/>
    </w:p>
    <w:p w14:paraId="0F61F0A4" w14:textId="4B4A3715" w:rsidR="00D109B7" w:rsidRPr="0062045D" w:rsidRDefault="6FE8AAFD" w:rsidP="007303F0">
      <w:pPr>
        <w:pStyle w:val="Heading2"/>
        <w:rPr>
          <w:sz w:val="26"/>
          <w:szCs w:val="26"/>
        </w:rPr>
      </w:pPr>
      <w:r w:rsidRPr="0062045D">
        <w:rPr>
          <w:sz w:val="26"/>
          <w:szCs w:val="26"/>
        </w:rPr>
        <w:t>Any questions or comments regarding this proposal should be submitted to:</w:t>
      </w:r>
    </w:p>
    <w:tbl>
      <w:tblPr>
        <w:tblStyle w:val="TableGrid"/>
        <w:tblW w:w="1014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6A0" w:firstRow="1" w:lastRow="0" w:firstColumn="1" w:lastColumn="0" w:noHBand="1" w:noVBand="1"/>
      </w:tblPr>
      <w:tblGrid>
        <w:gridCol w:w="10140"/>
      </w:tblGrid>
      <w:tr w:rsidR="0868C5BF" w14:paraId="1B73F320" w14:textId="77777777" w:rsidTr="00221606">
        <w:trPr>
          <w:trHeight w:val="300"/>
        </w:trPr>
        <w:tc>
          <w:tcPr>
            <w:tcW w:w="10140" w:type="dxa"/>
            <w:shd w:val="clear" w:color="auto" w:fill="D9D9D9" w:themeFill="background1" w:themeFillShade="D9"/>
          </w:tcPr>
          <w:p w14:paraId="7EAE11D5" w14:textId="03412EFE" w:rsidR="1BCCF08A" w:rsidRPr="00E262AA" w:rsidRDefault="00C06C5C" w:rsidP="00E262AA">
            <w:pPr>
              <w:ind w:left="-44"/>
              <w:jc w:val="center"/>
              <w:rPr>
                <w:b/>
                <w:bCs/>
              </w:rPr>
            </w:pPr>
            <w:r>
              <w:rPr>
                <w:b/>
                <w:bCs/>
              </w:rPr>
              <w:t>Ben Ehreth, AICP</w:t>
            </w:r>
          </w:p>
          <w:p w14:paraId="2B86057E" w14:textId="3ADC18ED" w:rsidR="1BCCF08A" w:rsidRPr="00E262AA" w:rsidRDefault="00C06C5C" w:rsidP="00E262AA">
            <w:pPr>
              <w:ind w:left="-44"/>
              <w:jc w:val="center"/>
              <w:rPr>
                <w:b/>
                <w:bCs/>
              </w:rPr>
            </w:pPr>
            <w:r>
              <w:rPr>
                <w:b/>
                <w:bCs/>
              </w:rPr>
              <w:t>Director</w:t>
            </w:r>
          </w:p>
          <w:p w14:paraId="16F3288E" w14:textId="7E1BD9E9" w:rsidR="1BCCF08A" w:rsidRPr="00E262AA" w:rsidRDefault="00C06C5C" w:rsidP="00E262AA">
            <w:pPr>
              <w:ind w:left="-44"/>
              <w:jc w:val="center"/>
              <w:rPr>
                <w:b/>
                <w:bCs/>
              </w:rPr>
            </w:pPr>
            <w:r>
              <w:rPr>
                <w:b/>
                <w:bCs/>
              </w:rPr>
              <w:t xml:space="preserve">The </w:t>
            </w:r>
            <w:r w:rsidR="008A3EE9" w:rsidRPr="00E262AA">
              <w:rPr>
                <w:b/>
                <w:bCs/>
              </w:rPr>
              <w:t>Forks</w:t>
            </w:r>
            <w:r w:rsidR="1BCCF08A" w:rsidRPr="00E262AA">
              <w:rPr>
                <w:b/>
                <w:bCs/>
              </w:rPr>
              <w:t xml:space="preserve"> MPO</w:t>
            </w:r>
          </w:p>
          <w:p w14:paraId="55C94B82" w14:textId="05CD8E5B" w:rsidR="1BCCF08A" w:rsidRPr="00E262AA" w:rsidRDefault="1BCCF08A" w:rsidP="00E262AA">
            <w:pPr>
              <w:ind w:left="-44"/>
              <w:jc w:val="center"/>
              <w:rPr>
                <w:b/>
                <w:bCs/>
              </w:rPr>
            </w:pPr>
            <w:r w:rsidRPr="00E262AA">
              <w:rPr>
                <w:b/>
                <w:bCs/>
              </w:rPr>
              <w:t>600 DeMers Ave</w:t>
            </w:r>
          </w:p>
          <w:p w14:paraId="28FB9D02" w14:textId="6A417FAF" w:rsidR="1BCCF08A" w:rsidRPr="00E262AA" w:rsidRDefault="1BCCF08A" w:rsidP="00E262AA">
            <w:pPr>
              <w:ind w:left="-44"/>
              <w:jc w:val="center"/>
              <w:rPr>
                <w:b/>
                <w:bCs/>
              </w:rPr>
            </w:pPr>
            <w:r w:rsidRPr="00E262AA">
              <w:rPr>
                <w:b/>
                <w:bCs/>
              </w:rPr>
              <w:t>East Grand Forks, MN 56721</w:t>
            </w:r>
          </w:p>
          <w:p w14:paraId="0724D863" w14:textId="0AF01ABB" w:rsidR="0868C5BF" w:rsidRPr="00E262AA" w:rsidRDefault="0868C5BF" w:rsidP="00E262AA">
            <w:pPr>
              <w:ind w:left="-44"/>
              <w:jc w:val="center"/>
              <w:rPr>
                <w:b/>
                <w:bCs/>
              </w:rPr>
            </w:pPr>
          </w:p>
          <w:p w14:paraId="47EEDC45" w14:textId="2EEE6F4E" w:rsidR="1BCCF08A" w:rsidRPr="00E262AA" w:rsidRDefault="1BCCF08A" w:rsidP="00E262AA">
            <w:pPr>
              <w:ind w:left="-44"/>
              <w:jc w:val="center"/>
              <w:rPr>
                <w:b/>
                <w:bCs/>
              </w:rPr>
            </w:pPr>
            <w:r w:rsidRPr="00E262AA">
              <w:rPr>
                <w:b/>
                <w:bCs/>
              </w:rPr>
              <w:t>Office Phone: 701-746-2660</w:t>
            </w:r>
          </w:p>
          <w:p w14:paraId="15F2F666" w14:textId="216525A3" w:rsidR="1BCCF08A" w:rsidRPr="00E262AA" w:rsidRDefault="1BCCF08A" w:rsidP="00E262AA">
            <w:pPr>
              <w:ind w:left="-44"/>
              <w:jc w:val="center"/>
              <w:rPr>
                <w:b/>
                <w:bCs/>
              </w:rPr>
            </w:pPr>
            <w:r w:rsidRPr="00E262AA">
              <w:rPr>
                <w:b/>
                <w:bCs/>
              </w:rPr>
              <w:t>Direct Phone: 218-399-337</w:t>
            </w:r>
            <w:r w:rsidR="002377CF">
              <w:rPr>
                <w:b/>
                <w:bCs/>
              </w:rPr>
              <w:t>0</w:t>
            </w:r>
          </w:p>
          <w:p w14:paraId="3D07A4E7" w14:textId="1CE38D48" w:rsidR="1BCCF08A" w:rsidRDefault="1BCCF08A" w:rsidP="00E262AA">
            <w:pPr>
              <w:ind w:left="-44"/>
              <w:jc w:val="center"/>
            </w:pPr>
            <w:r w:rsidRPr="00E262AA">
              <w:rPr>
                <w:b/>
                <w:bCs/>
              </w:rPr>
              <w:t xml:space="preserve">Email: </w:t>
            </w:r>
            <w:r w:rsidR="002377CF">
              <w:rPr>
                <w:b/>
                <w:bCs/>
              </w:rPr>
              <w:t>ben.ehreth</w:t>
            </w:r>
            <w:r w:rsidRPr="00E262AA">
              <w:rPr>
                <w:b/>
                <w:bCs/>
              </w:rPr>
              <w:t>@theforksmpo.org</w:t>
            </w:r>
          </w:p>
        </w:tc>
      </w:tr>
    </w:tbl>
    <w:p w14:paraId="16875CD7" w14:textId="497C9418" w:rsidR="00640D50" w:rsidRPr="0062045D" w:rsidRDefault="00640D50" w:rsidP="00DD6983">
      <w:pPr>
        <w:rPr>
          <w:sz w:val="26"/>
          <w:szCs w:val="26"/>
        </w:rPr>
      </w:pPr>
    </w:p>
    <w:p w14:paraId="29C03A78" w14:textId="6AFC21F1" w:rsidR="0025352D" w:rsidRPr="0062045D" w:rsidRDefault="34968490" w:rsidP="007303F0">
      <w:pPr>
        <w:pStyle w:val="Heading2"/>
        <w:rPr>
          <w:sz w:val="26"/>
          <w:szCs w:val="26"/>
        </w:rPr>
      </w:pPr>
      <w:r w:rsidRPr="0062045D">
        <w:rPr>
          <w:sz w:val="26"/>
          <w:szCs w:val="26"/>
        </w:rPr>
        <w:t>Proposals shall be submitted to:</w:t>
      </w:r>
    </w:p>
    <w:tbl>
      <w:tblPr>
        <w:tblStyle w:val="TableGrid"/>
        <w:tblW w:w="10170" w:type="dxa"/>
        <w:tblInd w:w="-3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6A0" w:firstRow="1" w:lastRow="0" w:firstColumn="1" w:lastColumn="0" w:noHBand="1" w:noVBand="1"/>
      </w:tblPr>
      <w:tblGrid>
        <w:gridCol w:w="10170"/>
      </w:tblGrid>
      <w:tr w:rsidR="0868C5BF" w14:paraId="7334BCCE" w14:textId="77777777" w:rsidTr="00221606">
        <w:trPr>
          <w:trHeight w:val="300"/>
        </w:trPr>
        <w:tc>
          <w:tcPr>
            <w:tcW w:w="10170" w:type="dxa"/>
            <w:shd w:val="clear" w:color="auto" w:fill="D9D9D9" w:themeFill="background1" w:themeFillShade="D9"/>
          </w:tcPr>
          <w:p w14:paraId="589C18EC" w14:textId="01D03028" w:rsidR="2FDE450A" w:rsidRPr="00E262AA" w:rsidRDefault="007203F9" w:rsidP="00E262AA">
            <w:pPr>
              <w:ind w:left="226"/>
              <w:jc w:val="center"/>
              <w:rPr>
                <w:b/>
                <w:bCs/>
              </w:rPr>
            </w:pPr>
            <w:r w:rsidRPr="008818EF">
              <w:rPr>
                <w:b/>
                <w:bCs/>
              </w:rPr>
              <w:t>The</w:t>
            </w:r>
            <w:r>
              <w:rPr>
                <w:b/>
                <w:bCs/>
              </w:rPr>
              <w:t xml:space="preserve"> </w:t>
            </w:r>
            <w:r w:rsidR="008A3EE9" w:rsidRPr="00E262AA">
              <w:rPr>
                <w:b/>
                <w:bCs/>
              </w:rPr>
              <w:t>Forks</w:t>
            </w:r>
            <w:r w:rsidR="2FDE450A" w:rsidRPr="00E262AA">
              <w:rPr>
                <w:b/>
                <w:bCs/>
              </w:rPr>
              <w:t xml:space="preserve"> MPO</w:t>
            </w:r>
          </w:p>
          <w:p w14:paraId="06C28109" w14:textId="6D6007A6" w:rsidR="2FDE450A" w:rsidRPr="00E262AA" w:rsidRDefault="2FDE450A" w:rsidP="00E262AA">
            <w:pPr>
              <w:ind w:left="226"/>
              <w:jc w:val="center"/>
              <w:rPr>
                <w:b/>
                <w:bCs/>
              </w:rPr>
            </w:pPr>
            <w:r w:rsidRPr="00E262AA">
              <w:rPr>
                <w:b/>
                <w:bCs/>
              </w:rPr>
              <w:t>600 DeMers Ave</w:t>
            </w:r>
          </w:p>
          <w:p w14:paraId="2D5EB219" w14:textId="00C00ADD" w:rsidR="2FDE450A" w:rsidRDefault="2FDE450A" w:rsidP="00E262AA">
            <w:pPr>
              <w:ind w:left="226"/>
              <w:jc w:val="center"/>
            </w:pPr>
            <w:r w:rsidRPr="00E262AA">
              <w:rPr>
                <w:b/>
                <w:bCs/>
              </w:rPr>
              <w:t>East Grand Forks, MN 56721</w:t>
            </w:r>
          </w:p>
        </w:tc>
      </w:tr>
    </w:tbl>
    <w:p w14:paraId="67B75279" w14:textId="3B4707F5" w:rsidR="00FD6826" w:rsidRPr="0062045D" w:rsidRDefault="34968490" w:rsidP="0062045D">
      <w:pPr>
        <w:pStyle w:val="Heading2"/>
        <w:spacing w:before="240"/>
        <w:rPr>
          <w:sz w:val="26"/>
          <w:szCs w:val="26"/>
        </w:rPr>
      </w:pPr>
      <w:r w:rsidRPr="0062045D">
        <w:rPr>
          <w:sz w:val="26"/>
          <w:szCs w:val="26"/>
        </w:rPr>
        <w:t>All proposals must be clearly identified and marked as follows:</w:t>
      </w:r>
    </w:p>
    <w:tbl>
      <w:tblPr>
        <w:tblStyle w:val="TableGrid"/>
        <w:tblW w:w="10170" w:type="dxa"/>
        <w:tblInd w:w="-3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6A0" w:firstRow="1" w:lastRow="0" w:firstColumn="1" w:lastColumn="0" w:noHBand="1" w:noVBand="1"/>
      </w:tblPr>
      <w:tblGrid>
        <w:gridCol w:w="10170"/>
      </w:tblGrid>
      <w:tr w:rsidR="0868C5BF" w14:paraId="1A069B51" w14:textId="77777777" w:rsidTr="00221606">
        <w:trPr>
          <w:trHeight w:val="300"/>
        </w:trPr>
        <w:tc>
          <w:tcPr>
            <w:tcW w:w="10170" w:type="dxa"/>
            <w:shd w:val="clear" w:color="auto" w:fill="D9D9D9" w:themeFill="background1" w:themeFillShade="D9"/>
          </w:tcPr>
          <w:p w14:paraId="12DC5F83" w14:textId="5DB032D2" w:rsidR="2556C99A" w:rsidRPr="00242195" w:rsidRDefault="2556C99A" w:rsidP="00242195">
            <w:pPr>
              <w:ind w:left="-44"/>
              <w:jc w:val="center"/>
              <w:rPr>
                <w:b/>
                <w:bCs/>
              </w:rPr>
            </w:pPr>
            <w:r w:rsidRPr="00242195">
              <w:rPr>
                <w:b/>
                <w:bCs/>
              </w:rPr>
              <w:t>Proposal for:</w:t>
            </w:r>
            <w:r w:rsidRPr="00242195">
              <w:rPr>
                <w:b/>
                <w:bCs/>
              </w:rPr>
              <w:br/>
            </w:r>
            <w:r w:rsidR="007203F9" w:rsidRPr="008818EF">
              <w:rPr>
                <w:b/>
                <w:bCs/>
              </w:rPr>
              <w:t>The</w:t>
            </w:r>
            <w:r w:rsidR="007203F9">
              <w:rPr>
                <w:b/>
                <w:bCs/>
              </w:rPr>
              <w:t xml:space="preserve"> </w:t>
            </w:r>
            <w:r w:rsidR="00427FC6">
              <w:rPr>
                <w:b/>
                <w:bCs/>
              </w:rPr>
              <w:t>Forks</w:t>
            </w:r>
            <w:r w:rsidR="004C6992">
              <w:rPr>
                <w:b/>
                <w:bCs/>
              </w:rPr>
              <w:t xml:space="preserve"> MPO</w:t>
            </w:r>
            <w:r w:rsidR="00427FC6">
              <w:rPr>
                <w:b/>
                <w:bCs/>
              </w:rPr>
              <w:t xml:space="preserve"> </w:t>
            </w:r>
            <w:r w:rsidR="004D0BF9">
              <w:rPr>
                <w:b/>
                <w:bCs/>
              </w:rPr>
              <w:t>MTP/TDP</w:t>
            </w:r>
          </w:p>
          <w:p w14:paraId="17A178A8" w14:textId="51034F59" w:rsidR="54A70665" w:rsidRPr="00242195" w:rsidRDefault="54A70665" w:rsidP="00242195">
            <w:pPr>
              <w:ind w:left="-44"/>
              <w:jc w:val="center"/>
              <w:rPr>
                <w:b/>
                <w:bCs/>
              </w:rPr>
            </w:pPr>
            <w:r w:rsidRPr="00242195">
              <w:rPr>
                <w:b/>
                <w:bCs/>
              </w:rPr>
              <w:t>Firm’s Name</w:t>
            </w:r>
          </w:p>
          <w:p w14:paraId="1835946F" w14:textId="3DA00142" w:rsidR="54A70665" w:rsidRDefault="00F464CE" w:rsidP="00242195">
            <w:pPr>
              <w:ind w:left="-44"/>
              <w:jc w:val="center"/>
            </w:pPr>
            <w:r w:rsidRPr="00242195">
              <w:rPr>
                <w:b/>
                <w:bCs/>
              </w:rPr>
              <w:t>Forks</w:t>
            </w:r>
            <w:r w:rsidR="54A70665" w:rsidRPr="00242195">
              <w:rPr>
                <w:b/>
                <w:bCs/>
              </w:rPr>
              <w:t xml:space="preserve"> MPO</w:t>
            </w:r>
          </w:p>
        </w:tc>
      </w:tr>
    </w:tbl>
    <w:p w14:paraId="64452517" w14:textId="77777777" w:rsidR="007E60F3" w:rsidRDefault="007E60F3" w:rsidP="0062045D">
      <w:pPr>
        <w:pStyle w:val="BodyText"/>
        <w:ind w:left="0"/>
        <w:rPr>
          <w:highlight w:val="yellow"/>
        </w:rPr>
      </w:pPr>
    </w:p>
    <w:p w14:paraId="41CC095A" w14:textId="6740568F" w:rsidR="000C6AF9" w:rsidRDefault="7402D101" w:rsidP="00040BED">
      <w:pPr>
        <w:pStyle w:val="BodyText"/>
        <w:ind w:left="720"/>
      </w:pPr>
      <w:r w:rsidRPr="008818EF">
        <w:rPr>
          <w:b/>
          <w:bCs/>
        </w:rPr>
        <w:t xml:space="preserve">All proposals must be received by </w:t>
      </w:r>
      <w:r w:rsidR="00C93C55" w:rsidRPr="008818EF">
        <w:rPr>
          <w:b/>
          <w:bCs/>
        </w:rPr>
        <w:t>5pm</w:t>
      </w:r>
      <w:r w:rsidR="5FFB00FE" w:rsidRPr="008818EF">
        <w:rPr>
          <w:b/>
          <w:bCs/>
        </w:rPr>
        <w:t xml:space="preserve"> (central time)</w:t>
      </w:r>
      <w:r w:rsidRPr="008818EF">
        <w:rPr>
          <w:b/>
          <w:bCs/>
        </w:rPr>
        <w:t xml:space="preserve"> </w:t>
      </w:r>
      <w:r w:rsidR="007C383A" w:rsidRPr="008818EF">
        <w:rPr>
          <w:b/>
          <w:bCs/>
        </w:rPr>
        <w:t xml:space="preserve">April </w:t>
      </w:r>
      <w:r w:rsidR="00011FF4" w:rsidRPr="008818EF">
        <w:rPr>
          <w:b/>
          <w:bCs/>
        </w:rPr>
        <w:t>17</w:t>
      </w:r>
      <w:r w:rsidR="007C383A" w:rsidRPr="008818EF">
        <w:rPr>
          <w:b/>
          <w:bCs/>
          <w:vertAlign w:val="superscript"/>
        </w:rPr>
        <w:t>th</w:t>
      </w:r>
      <w:r w:rsidR="00C93C55" w:rsidRPr="008818EF">
        <w:rPr>
          <w:b/>
          <w:bCs/>
        </w:rPr>
        <w:t>, 2026</w:t>
      </w:r>
      <w:r w:rsidR="1F8CD413" w:rsidRPr="00816AA2">
        <w:rPr>
          <w:b/>
          <w:bCs/>
          <w:u w:val="single"/>
        </w:rPr>
        <w:t>,</w:t>
      </w:r>
      <w:r w:rsidRPr="00816AA2">
        <w:t xml:space="preserve"> at which</w:t>
      </w:r>
      <w:r w:rsidRPr="6083222E">
        <w:t xml:space="preserve"> time the </w:t>
      </w:r>
      <w:r w:rsidR="0EE103B9" w:rsidRPr="6083222E">
        <w:t xml:space="preserve">proposals will be opened for review. Cost proposals will remain sealed in a secure place until </w:t>
      </w:r>
      <w:r w:rsidR="00261096" w:rsidRPr="6083222E">
        <w:t>the proposal</w:t>
      </w:r>
      <w:r w:rsidR="0EE103B9" w:rsidRPr="6083222E">
        <w:t xml:space="preserve"> ranking is </w:t>
      </w:r>
      <w:r w:rsidR="0EE103B9" w:rsidRPr="6083222E">
        <w:lastRenderedPageBreak/>
        <w:t>complete and contract negotiations begin. An electronic copy of the technical proposal must be provided. One copy of the cost proposal shall be submitted in a separate, sealed, and clearly marked envelope</w:t>
      </w:r>
      <w:r w:rsidR="002E12F9">
        <w:t xml:space="preserve"> </w:t>
      </w:r>
      <w:r w:rsidR="002E12F9" w:rsidRPr="009F07D9">
        <w:t>or separate email with password protected access to the proposal</w:t>
      </w:r>
      <w:r w:rsidR="0EE103B9" w:rsidRPr="009F07D9">
        <w:t>.</w:t>
      </w:r>
      <w:r w:rsidR="00501782">
        <w:t xml:space="preserve"> </w:t>
      </w:r>
    </w:p>
    <w:p w14:paraId="2DAC40C0" w14:textId="443CBEB2" w:rsidR="00AE4DBA" w:rsidRDefault="00AE4DBA" w:rsidP="00DD6983">
      <w:pPr>
        <w:pStyle w:val="BodyText"/>
      </w:pPr>
    </w:p>
    <w:p w14:paraId="74B96BBE" w14:textId="1C6B1349" w:rsidR="00AE4DBA" w:rsidRDefault="34DECF7E" w:rsidP="007B50B6">
      <w:pPr>
        <w:pStyle w:val="Heading2"/>
      </w:pPr>
      <w:r>
        <w:t>Selection Committee</w:t>
      </w:r>
    </w:p>
    <w:p w14:paraId="7D517AAE" w14:textId="1B213D0F" w:rsidR="005A0F30" w:rsidRDefault="00AE4DBA" w:rsidP="007034BE">
      <w:pPr>
        <w:pStyle w:val="BodyText"/>
        <w:ind w:left="1080"/>
      </w:pPr>
      <w:r>
        <w:t>The technical proposals will be reviewed</w:t>
      </w:r>
      <w:r w:rsidR="007034BE">
        <w:t xml:space="preserve"> </w:t>
      </w:r>
      <w:r>
        <w:t xml:space="preserve">by </w:t>
      </w:r>
      <w:r w:rsidR="007034BE">
        <w:t>a s</w:t>
      </w:r>
      <w:r>
        <w:t xml:space="preserve">election </w:t>
      </w:r>
      <w:r w:rsidR="007034BE">
        <w:t>c</w:t>
      </w:r>
      <w:r>
        <w:t>ommittee</w:t>
      </w:r>
      <w:r w:rsidR="007034BE">
        <w:t xml:space="preserve">. </w:t>
      </w:r>
      <w:r w:rsidR="003B5324">
        <w:t>After</w:t>
      </w:r>
      <w:r w:rsidR="217D8B31" w:rsidRPr="6083222E">
        <w:t xml:space="preserve"> the written proposals are received,</w:t>
      </w:r>
      <w:r w:rsidR="002E2FC2">
        <w:t xml:space="preserve"> the </w:t>
      </w:r>
      <w:r w:rsidR="007034BE">
        <w:t>s</w:t>
      </w:r>
      <w:r w:rsidR="002E2FC2">
        <w:t xml:space="preserve">election </w:t>
      </w:r>
      <w:r w:rsidR="007034BE">
        <w:t>c</w:t>
      </w:r>
      <w:r w:rsidR="002E2FC2">
        <w:t>ommittee will</w:t>
      </w:r>
      <w:r w:rsidR="00952825">
        <w:t xml:space="preserve"> evaluate and score the proposals</w:t>
      </w:r>
      <w:r w:rsidR="0070712C">
        <w:t>.</w:t>
      </w:r>
      <w:r w:rsidR="1549E52C" w:rsidRPr="6083222E">
        <w:t xml:space="preserve"> </w:t>
      </w:r>
      <w:r w:rsidR="0070712C">
        <w:t>I</w:t>
      </w:r>
      <w:r w:rsidR="1549E52C" w:rsidRPr="6083222E">
        <w:t>f there are five</w:t>
      </w:r>
      <w:r w:rsidR="007F5EB2">
        <w:t xml:space="preserve"> (5)</w:t>
      </w:r>
      <w:r w:rsidR="1549E52C" w:rsidRPr="6083222E">
        <w:t xml:space="preserve"> or more proposals</w:t>
      </w:r>
      <w:r w:rsidR="00E07580">
        <w:t>, the MPO</w:t>
      </w:r>
      <w:r w:rsidR="1549E52C" w:rsidRPr="6083222E">
        <w:t xml:space="preserve"> </w:t>
      </w:r>
      <w:r w:rsidR="007034BE">
        <w:t xml:space="preserve">reserves the right to cut down the </w:t>
      </w:r>
      <w:r w:rsidR="000149B2">
        <w:t xml:space="preserve">proposals to </w:t>
      </w:r>
      <w:r w:rsidR="1549E52C" w:rsidRPr="6083222E">
        <w:t>the</w:t>
      </w:r>
      <w:r w:rsidR="002E13F1">
        <w:t xml:space="preserve"> top three (3)</w:t>
      </w:r>
      <w:r w:rsidR="006154EF">
        <w:t xml:space="preserve"> scoring</w:t>
      </w:r>
      <w:r w:rsidR="1549E52C" w:rsidRPr="6083222E">
        <w:t xml:space="preserve"> proposals</w:t>
      </w:r>
      <w:r w:rsidR="006154EF">
        <w:t xml:space="preserve"> </w:t>
      </w:r>
      <w:r w:rsidR="000149B2">
        <w:t>for</w:t>
      </w:r>
      <w:r w:rsidR="7FCB66FC" w:rsidRPr="6083222E">
        <w:t xml:space="preserve"> intervie</w:t>
      </w:r>
      <w:r w:rsidR="000149B2">
        <w:t>w</w:t>
      </w:r>
      <w:r w:rsidR="217D8B31" w:rsidRPr="6083222E">
        <w:t xml:space="preserve">. </w:t>
      </w:r>
      <w:r w:rsidR="007F5EB2">
        <w:t>If</w:t>
      </w:r>
      <w:r w:rsidR="000F7BC7">
        <w:t xml:space="preserve"> no more than</w:t>
      </w:r>
      <w:r w:rsidR="007F5EB2">
        <w:t xml:space="preserve"> four (4) proposals</w:t>
      </w:r>
      <w:r w:rsidR="000F7BC7">
        <w:t xml:space="preserve"> are received</w:t>
      </w:r>
      <w:r w:rsidR="00DB2278">
        <w:t>,</w:t>
      </w:r>
      <w:r w:rsidR="000F7BC7">
        <w:t xml:space="preserve"> th</w:t>
      </w:r>
      <w:r w:rsidR="002A1A16">
        <w:t>en</w:t>
      </w:r>
      <w:r w:rsidR="000F7BC7">
        <w:t xml:space="preserve"> all proposing candidates will receive an interview.</w:t>
      </w:r>
      <w:r w:rsidR="007F5EB2">
        <w:t xml:space="preserve"> </w:t>
      </w:r>
      <w:r w:rsidR="217D8B31" w:rsidRPr="6083222E">
        <w:t xml:space="preserve">A </w:t>
      </w:r>
      <w:r w:rsidR="004405D4">
        <w:t>45</w:t>
      </w:r>
      <w:r w:rsidR="217D8B31" w:rsidRPr="6083222E">
        <w:t xml:space="preserve">-minute interview will be scheduled </w:t>
      </w:r>
      <w:r w:rsidR="1D408AF0" w:rsidRPr="6083222E">
        <w:t>for</w:t>
      </w:r>
      <w:r w:rsidR="6B0844D7" w:rsidRPr="6083222E">
        <w:t xml:space="preserve"> </w:t>
      </w:r>
      <w:r w:rsidR="00383103">
        <w:t>some time</w:t>
      </w:r>
      <w:r w:rsidR="00DB2278">
        <w:t xml:space="preserve"> in</w:t>
      </w:r>
      <w:r w:rsidR="00383103">
        <w:t xml:space="preserve"> </w:t>
      </w:r>
      <w:r w:rsidR="0009707B" w:rsidRPr="005A2287">
        <w:rPr>
          <w:b/>
          <w:bCs/>
          <w:color w:val="auto"/>
        </w:rPr>
        <w:t xml:space="preserve">the week of </w:t>
      </w:r>
      <w:r w:rsidR="00DA060E" w:rsidRPr="005A2287">
        <w:rPr>
          <w:b/>
          <w:bCs/>
          <w:color w:val="auto"/>
        </w:rPr>
        <w:t>May 4</w:t>
      </w:r>
      <w:r w:rsidR="00383103" w:rsidRPr="005A2287">
        <w:rPr>
          <w:b/>
          <w:bCs/>
          <w:color w:val="auto"/>
        </w:rPr>
        <w:t>, 2026</w:t>
      </w:r>
      <w:r w:rsidR="2AF61A04" w:rsidRPr="005A2287">
        <w:rPr>
          <w:color w:val="ED0000"/>
        </w:rPr>
        <w:t>,</w:t>
      </w:r>
      <w:r w:rsidR="217D8B31" w:rsidRPr="00816AA2">
        <w:t xml:space="preserve"> with</w:t>
      </w:r>
      <w:r w:rsidR="217D8B31" w:rsidRPr="6083222E">
        <w:t xml:space="preserve"> the firms</w:t>
      </w:r>
      <w:r w:rsidR="002671FA">
        <w:t xml:space="preserve"> </w:t>
      </w:r>
      <w:r w:rsidR="002671FA" w:rsidRPr="009F07D9">
        <w:t>who qualify for an interview</w:t>
      </w:r>
      <w:r w:rsidR="000F7BC7">
        <w:t>.</w:t>
      </w:r>
      <w:r w:rsidR="217D8B31" w:rsidRPr="6083222E">
        <w:t xml:space="preserve"> </w:t>
      </w:r>
      <w:r w:rsidR="017528A8" w:rsidRPr="6083222E">
        <w:t xml:space="preserve">This </w:t>
      </w:r>
      <w:r w:rsidR="004405D4">
        <w:t>45</w:t>
      </w:r>
      <w:r w:rsidR="017528A8" w:rsidRPr="6083222E">
        <w:t xml:space="preserve">-minute interview will provide an opportunity for the selection committee members to ask questions </w:t>
      </w:r>
      <w:proofErr w:type="gramStart"/>
      <w:r w:rsidR="017528A8" w:rsidRPr="6083222E">
        <w:t>of</w:t>
      </w:r>
      <w:proofErr w:type="gramEnd"/>
      <w:r w:rsidR="017528A8" w:rsidRPr="6083222E">
        <w:t xml:space="preserve"> the submitting firms and get clarification on any information in the proposals that may not be clear. Firms chosen for interviews will be expected to make presentations and should prepare one. </w:t>
      </w:r>
      <w:r w:rsidR="00CD5E07" w:rsidRPr="00CD5E07">
        <w:t xml:space="preserve">The presentation should be no more than </w:t>
      </w:r>
      <w:r w:rsidR="00E71289">
        <w:t>35</w:t>
      </w:r>
      <w:r w:rsidR="00DA2A3A" w:rsidRPr="00CD5E07">
        <w:t xml:space="preserve"> minutes</w:t>
      </w:r>
      <w:r w:rsidR="00CD5E07" w:rsidRPr="00CD5E07">
        <w:t xml:space="preserve">, leaving </w:t>
      </w:r>
      <w:r w:rsidR="00E71289">
        <w:t>ten (</w:t>
      </w:r>
      <w:r w:rsidR="008F3FDA" w:rsidRPr="00CD5E07">
        <w:t>10</w:t>
      </w:r>
      <w:r w:rsidR="00E71289">
        <w:t>)</w:t>
      </w:r>
      <w:r w:rsidR="008F3FDA" w:rsidRPr="00CD5E07">
        <w:t xml:space="preserve"> minutes</w:t>
      </w:r>
      <w:r w:rsidR="00CD5E07" w:rsidRPr="00CD5E07">
        <w:t xml:space="preserve"> for questions. </w:t>
      </w:r>
      <w:r w:rsidR="00CD5E07" w:rsidRPr="00540604">
        <w:t xml:space="preserve">The interviews </w:t>
      </w:r>
      <w:r w:rsidR="00E71289">
        <w:t>can</w:t>
      </w:r>
      <w:r w:rsidR="008F3FDA">
        <w:t xml:space="preserve"> be</w:t>
      </w:r>
      <w:r w:rsidR="00CD5E07" w:rsidRPr="00540604">
        <w:t xml:space="preserve"> conducted</w:t>
      </w:r>
      <w:r w:rsidR="00E71289">
        <w:t xml:space="preserve"> in-person or</w:t>
      </w:r>
      <w:r w:rsidR="00CD5E07" w:rsidRPr="00540604">
        <w:t xml:space="preserve"> </w:t>
      </w:r>
      <w:r w:rsidR="00540604">
        <w:t xml:space="preserve">in a </w:t>
      </w:r>
      <w:r w:rsidR="00E71289">
        <w:t xml:space="preserve">virtual </w:t>
      </w:r>
      <w:r w:rsidR="009369F1">
        <w:t>format</w:t>
      </w:r>
      <w:r w:rsidR="00E71289">
        <w:t>, as necessary</w:t>
      </w:r>
      <w:r w:rsidR="00CD5E07" w:rsidRPr="00CD5E07">
        <w:t>. Firms may be asked to verbally expand upon points in their written proposal and should be prepared to do so.</w:t>
      </w:r>
    </w:p>
    <w:p w14:paraId="4BA8BA33" w14:textId="77777777" w:rsidR="00850F2A" w:rsidRDefault="00850F2A" w:rsidP="00CD5E07">
      <w:pPr>
        <w:pStyle w:val="BodyText"/>
        <w:ind w:left="1080"/>
      </w:pPr>
    </w:p>
    <w:p w14:paraId="320C4DC4" w14:textId="639E8206" w:rsidR="005A0F30" w:rsidRDefault="125CE05E" w:rsidP="007B50B6">
      <w:pPr>
        <w:pStyle w:val="Heading2"/>
      </w:pPr>
      <w:r>
        <w:t>Respondent Qualifications</w:t>
      </w:r>
    </w:p>
    <w:p w14:paraId="1073CC26" w14:textId="02051D09" w:rsidR="005A0F30" w:rsidRDefault="0037404E" w:rsidP="00FD2E02">
      <w:pPr>
        <w:pStyle w:val="BodyText"/>
        <w:spacing w:after="120"/>
        <w:ind w:left="1080"/>
      </w:pPr>
      <w:r w:rsidRPr="0037404E">
        <w:t>Respondents must submit evidence that the team they have assembled has had relevant experience and has previously delivered services like the ones required</w:t>
      </w:r>
      <w:r w:rsidR="005A0F30" w:rsidRPr="005A0F30">
        <w:t xml:space="preserve">. Each respondent may also be required to show that </w:t>
      </w:r>
      <w:r w:rsidR="000902D4">
        <w:t>they</w:t>
      </w:r>
      <w:r w:rsidR="005A0F30" w:rsidRPr="005A0F30">
        <w:t xml:space="preserve"> ha</w:t>
      </w:r>
      <w:r w:rsidR="00077296">
        <w:t>ve</w:t>
      </w:r>
      <w:r w:rsidR="005A0F30" w:rsidRPr="005A0F30">
        <w:t xml:space="preserve"> satisfactorily performed similar work in the past and that no claims of any kind are pending against such work. No proposal will be accepted from a respondent who is engaged in any work that would impair </w:t>
      </w:r>
      <w:r w:rsidR="00077296">
        <w:t>their</w:t>
      </w:r>
      <w:r w:rsidR="005A0F30" w:rsidRPr="005A0F30">
        <w:t xml:space="preserve"> ability to perform or finance this work.</w:t>
      </w:r>
    </w:p>
    <w:p w14:paraId="7006C903" w14:textId="4F5A626A" w:rsidR="005A0F30" w:rsidRDefault="005A0F30" w:rsidP="00DD6983">
      <w:pPr>
        <w:pStyle w:val="BodyText"/>
      </w:pPr>
    </w:p>
    <w:p w14:paraId="1D7B5004" w14:textId="5D686045" w:rsidR="003C5BE3" w:rsidRPr="007429B4" w:rsidRDefault="125CE05E" w:rsidP="007B50B6">
      <w:pPr>
        <w:pStyle w:val="Heading2"/>
      </w:pPr>
      <w:r w:rsidRPr="007429B4">
        <w:t>Disadvantaged Business Enterprise</w:t>
      </w:r>
    </w:p>
    <w:p w14:paraId="56F0596D" w14:textId="05715426" w:rsidR="003C5BE3" w:rsidRPr="007429B4" w:rsidRDefault="009F67D9" w:rsidP="00FD2E02">
      <w:pPr>
        <w:pStyle w:val="BodyText"/>
        <w:ind w:left="1080"/>
      </w:pPr>
      <w:r w:rsidRPr="007429B4">
        <w:t xml:space="preserve">In the performance of this agreement, the contractor shall cooperate with </w:t>
      </w:r>
      <w:r w:rsidR="00F95544" w:rsidRPr="007429B4">
        <w:t xml:space="preserve">the Forks </w:t>
      </w:r>
      <w:r w:rsidRPr="007429B4">
        <w:t xml:space="preserve">MPO in meeting </w:t>
      </w:r>
      <w:r w:rsidR="008B35D2" w:rsidRPr="007429B4">
        <w:t>DOT</w:t>
      </w:r>
      <w:r w:rsidR="00A30225" w:rsidRPr="007429B4">
        <w:t>s</w:t>
      </w:r>
      <w:r w:rsidRPr="007429B4">
        <w:t xml:space="preserve"> goals </w:t>
      </w:r>
      <w:r w:rsidR="008D4551" w:rsidRPr="007429B4">
        <w:t>regarding</w:t>
      </w:r>
      <w:r w:rsidRPr="007429B4">
        <w:t xml:space="preserve"> the maximum utilization of disadvantaged business </w:t>
      </w:r>
      <w:r w:rsidR="00261B04" w:rsidRPr="007429B4">
        <w:t>enterprises and</w:t>
      </w:r>
      <w:r w:rsidRPr="007429B4">
        <w:t xml:space="preserve"> will use its best efforts to ensure that such business enterprises shall have maximum practical opportunities to compete for subcontract work under this agreement.</w:t>
      </w:r>
    </w:p>
    <w:p w14:paraId="536FECC5" w14:textId="77777777" w:rsidR="009F67D9" w:rsidRPr="007429B4" w:rsidRDefault="009F67D9" w:rsidP="00DD6983">
      <w:pPr>
        <w:pStyle w:val="BodyText"/>
      </w:pPr>
    </w:p>
    <w:p w14:paraId="78736E5C" w14:textId="07DB1138" w:rsidR="009F67D9" w:rsidRPr="007429B4" w:rsidRDefault="009F67D9" w:rsidP="00FD2E02">
      <w:pPr>
        <w:pStyle w:val="BodyText"/>
        <w:numPr>
          <w:ilvl w:val="0"/>
          <w:numId w:val="12"/>
        </w:numPr>
        <w:spacing w:after="120"/>
        <w:ind w:left="1440"/>
      </w:pPr>
      <w:r w:rsidRPr="007429B4">
        <w:t>Policy</w:t>
      </w:r>
    </w:p>
    <w:p w14:paraId="7A30480A" w14:textId="1F558615" w:rsidR="009F67D9" w:rsidRPr="007429B4" w:rsidRDefault="009F67D9" w:rsidP="00DD6983">
      <w:pPr>
        <w:pStyle w:val="BodyText"/>
      </w:pPr>
      <w:r w:rsidRPr="007429B4">
        <w:t xml:space="preserve">It is the policy of the Department of Transportation that disadvantaged business enterprises as defined in 49 CFR Part 23, shall have the maximum opportunity to participate in the performance of contracts financed in whole or in part with federal funds under this Agreement. Consequently, the DBE requirements of 49 CFR Part 23 </w:t>
      </w:r>
      <w:r w:rsidR="008D4551" w:rsidRPr="007429B4">
        <w:t>apply</w:t>
      </w:r>
      <w:r w:rsidRPr="007429B4">
        <w:t xml:space="preserve"> to this Agreement.</w:t>
      </w:r>
    </w:p>
    <w:p w14:paraId="6409FBF9" w14:textId="6E1458FE" w:rsidR="009F67D9" w:rsidRPr="007429B4" w:rsidRDefault="009F67D9" w:rsidP="00DD6983">
      <w:pPr>
        <w:pStyle w:val="BodyText"/>
      </w:pPr>
    </w:p>
    <w:p w14:paraId="1DA70ACD" w14:textId="588EAF21" w:rsidR="009F67D9" w:rsidRPr="007429B4" w:rsidRDefault="009F67D9" w:rsidP="00087D4F">
      <w:pPr>
        <w:pStyle w:val="BodyText"/>
        <w:numPr>
          <w:ilvl w:val="0"/>
          <w:numId w:val="12"/>
        </w:numPr>
        <w:spacing w:after="120"/>
        <w:ind w:left="1440"/>
      </w:pPr>
      <w:r w:rsidRPr="007429B4">
        <w:t>DBE Obligation</w:t>
      </w:r>
    </w:p>
    <w:p w14:paraId="74E16950" w14:textId="0D3B0915" w:rsidR="009F67D9" w:rsidRDefault="009F67D9" w:rsidP="00DD6983">
      <w:pPr>
        <w:pStyle w:val="BodyText"/>
      </w:pPr>
      <w:r w:rsidRPr="007429B4">
        <w:t xml:space="preserve">The MPO and contractor agree to ensure that disadvantaged business enterprises as defined in </w:t>
      </w:r>
      <w:r w:rsidR="0075036E" w:rsidRPr="007429B4">
        <w:t xml:space="preserve">49 CFR Part 23 have the maximum opportunity to participate in the performance of contracts and subcontracts financed in whole or in part with federal funds provided under or pursuant to this Agreement. In this regard, the contractor shall take all necessary and responsible steps in accordance with 49 CFR Part 23 to ensure that disadvantaged business enterprises have </w:t>
      </w:r>
      <w:r w:rsidR="008D4551" w:rsidRPr="007429B4">
        <w:t xml:space="preserve">the </w:t>
      </w:r>
      <w:r w:rsidR="008D4551" w:rsidRPr="007429B4">
        <w:lastRenderedPageBreak/>
        <w:t>maximum</w:t>
      </w:r>
      <w:r w:rsidR="0075036E" w:rsidRPr="007429B4">
        <w:t xml:space="preserve"> opportunity to compete for and perform contracts. The contractor shall not discriminate </w:t>
      </w:r>
      <w:r w:rsidR="00A84122" w:rsidRPr="007429B4">
        <w:t>based on</w:t>
      </w:r>
      <w:r w:rsidR="0075036E" w:rsidRPr="007429B4">
        <w:t xml:space="preserve"> race, creed, color, national origin, age, or sex in the award and performance of DOT-assisted contracts.</w:t>
      </w:r>
    </w:p>
    <w:p w14:paraId="71AFD229" w14:textId="011E68CF" w:rsidR="0075036E" w:rsidRDefault="0075036E" w:rsidP="00DD6983">
      <w:pPr>
        <w:pStyle w:val="BodyText"/>
      </w:pPr>
    </w:p>
    <w:p w14:paraId="1A9657D4" w14:textId="1E32B8D2" w:rsidR="0075036E" w:rsidRDefault="7225BBAD" w:rsidP="007B50B6">
      <w:pPr>
        <w:pStyle w:val="Heading2"/>
      </w:pPr>
      <w:r>
        <w:t>Ownership, Publication, Reproduction, and Use of Materials</w:t>
      </w:r>
    </w:p>
    <w:p w14:paraId="5B70B98A" w14:textId="03612F83" w:rsidR="0075036E" w:rsidRDefault="00A62A1F" w:rsidP="00087D4F">
      <w:pPr>
        <w:pStyle w:val="BodyText"/>
        <w:ind w:left="1080"/>
      </w:pPr>
      <w:r w:rsidRPr="00A62A1F">
        <w:t>All work products of the contractor which result from this contract are the exclusive property of</w:t>
      </w:r>
      <w:r w:rsidR="00AC2AD3">
        <w:t xml:space="preserve"> Forks</w:t>
      </w:r>
      <w:r w:rsidRPr="00A62A1F">
        <w:t xml:space="preserve"> MPO, local partners, and its federal/state grantor agencies.  No material produced in whole or part under this agreement shall, during the life of this agreement, be subject to copyright in the United States or in any other country.  Permission and approval must be obtained from the </w:t>
      </w:r>
      <w:r w:rsidR="00AC2AD3">
        <w:t xml:space="preserve">Forks </w:t>
      </w:r>
      <w:r w:rsidRPr="00A62A1F">
        <w:t xml:space="preserve">MPO before any report, handbook, cassettes, manual, interim data, or results are published.  Draft copies of all deliverables must be prepared by the consultant and reviewed and approved by the </w:t>
      </w:r>
      <w:r w:rsidR="00AC2AD3">
        <w:t xml:space="preserve">Forks </w:t>
      </w:r>
      <w:r w:rsidRPr="00A62A1F">
        <w:t xml:space="preserve">MPO before publication.  The consultant, subject to </w:t>
      </w:r>
      <w:r w:rsidR="00C4283C" w:rsidRPr="00A62A1F">
        <w:t>approval</w:t>
      </w:r>
      <w:r w:rsidRPr="00A62A1F">
        <w:t xml:space="preserve"> by the </w:t>
      </w:r>
      <w:r w:rsidR="00AC2AD3">
        <w:t xml:space="preserve">Forks </w:t>
      </w:r>
      <w:r w:rsidRPr="00A62A1F">
        <w:t>MPO, shall have the authority to publish, disclose, distribute, and otherwise use in whole and part, any reports, data, or other materials prepared under this agreement.</w:t>
      </w:r>
    </w:p>
    <w:p w14:paraId="07602F97" w14:textId="100E6098" w:rsidR="00A62A1F" w:rsidRDefault="00A62A1F" w:rsidP="00DD6983">
      <w:pPr>
        <w:pStyle w:val="BodyText"/>
      </w:pPr>
    </w:p>
    <w:p w14:paraId="7F7816E9" w14:textId="324AE681" w:rsidR="00A62A1F" w:rsidRDefault="0518F0D3" w:rsidP="007B50B6">
      <w:pPr>
        <w:pStyle w:val="Heading2"/>
      </w:pPr>
      <w:r>
        <w:t>Records, Access, and Audits</w:t>
      </w:r>
    </w:p>
    <w:p w14:paraId="40DB52F1" w14:textId="1B057CED" w:rsidR="00A62A1F" w:rsidRDefault="00A62A1F" w:rsidP="00087D4F">
      <w:pPr>
        <w:pStyle w:val="BodyText"/>
        <w:ind w:left="1080"/>
      </w:pPr>
      <w:r w:rsidRPr="00A62A1F">
        <w:t>The consultant shall maintain complete and accurate records with respect to allowable costs incurred and manpower expended under this contract.  All such records shall be maintained on a generally accepted accounting basis and shall be clearly identified and readily accessible.  The consultant shall provide free access to the representatives of MPO, the US Department of Transportation, and the Comptroller General of the United States at all proper times to such data and records, and their right to inspect and audit all data and records of the Consultant relating to his performance under the contract; and to make transcripts there from as necessary to allow inspection of all work data, documents, proceedings, and activities related to this contract for a period of three (3) years from the date of the final payment under this contract.</w:t>
      </w:r>
    </w:p>
    <w:p w14:paraId="3C965362" w14:textId="6E09B4C9" w:rsidR="00A62A1F" w:rsidRDefault="00A62A1F" w:rsidP="00DD6983">
      <w:pPr>
        <w:pStyle w:val="BodyText"/>
      </w:pPr>
    </w:p>
    <w:p w14:paraId="110B792B" w14:textId="309A706F" w:rsidR="00A62A1F" w:rsidRDefault="0518F0D3" w:rsidP="007B50B6">
      <w:pPr>
        <w:pStyle w:val="Heading2"/>
      </w:pPr>
      <w:r>
        <w:t>Conflicts of Interest</w:t>
      </w:r>
    </w:p>
    <w:p w14:paraId="6B2D337E" w14:textId="29AA0F95" w:rsidR="00A62A1F" w:rsidRDefault="00A62A1F" w:rsidP="00087D4F">
      <w:pPr>
        <w:pStyle w:val="BodyText"/>
        <w:ind w:left="1080"/>
      </w:pPr>
      <w:r w:rsidRPr="00A62A1F">
        <w:t xml:space="preserve">No official or employee of the MPO, state, or any other governmental instrumentality who is authorized in his official capacity to negotiate, </w:t>
      </w:r>
      <w:r w:rsidR="00513E11" w:rsidRPr="00A62A1F">
        <w:t>accept,</w:t>
      </w:r>
      <w:r w:rsidRPr="00A62A1F">
        <w:t xml:space="preserve"> approve, or </w:t>
      </w:r>
      <w:r w:rsidR="00513E11" w:rsidRPr="00A62A1F">
        <w:t>take</w:t>
      </w:r>
      <w:r w:rsidRPr="00A62A1F">
        <w:t xml:space="preserve"> part in negotiating, accepting, or approving any contract or subcontract in connection with a project shall have, directly or indirectly, any financial or other personal interest in any such contract or subcontract.  No engineer, attorney, appraiser, inspector, or other person performing services for the MPO, state, or </w:t>
      </w:r>
      <w:r w:rsidR="00513E11" w:rsidRPr="00A62A1F">
        <w:t>governmental</w:t>
      </w:r>
      <w:r w:rsidRPr="00A62A1F">
        <w:t xml:space="preserve"> instrumentality in connection with a project shall have, directly or indirectly, a financial or other personal interest other than his employment or retention by the MPO, state, or other governmental instrumentality, in any contract or subcontract in connection with such project.  No officer or employee of such person retained by the MPO, state, or other governmental instrumentality shall have, directly or indirectly, any financial or other personal interest in a project unless such interest is openly disclosed upon the public records of the MPO, the NDDOT, the MnDOT, or such other governmental instrumentality, and such officer, employee, or person has not participated in such acquisition for and in behalf of the state.</w:t>
      </w:r>
    </w:p>
    <w:p w14:paraId="1E9993FB" w14:textId="04CED6FC" w:rsidR="00A62A1F" w:rsidRDefault="00A62A1F" w:rsidP="00DD6983">
      <w:pPr>
        <w:pStyle w:val="BodyText"/>
      </w:pPr>
    </w:p>
    <w:p w14:paraId="3876A159" w14:textId="4A1E2DA0" w:rsidR="00A62A1F" w:rsidRDefault="0518F0D3" w:rsidP="007B50B6">
      <w:pPr>
        <w:pStyle w:val="Heading2"/>
      </w:pPr>
      <w:r>
        <w:lastRenderedPageBreak/>
        <w:t>Eligibility of Proposer, Non-procurement, Debarment and Suspension Certificate, and Restriction on Lobbying</w:t>
      </w:r>
    </w:p>
    <w:p w14:paraId="5BD88F46" w14:textId="72A00521" w:rsidR="00A62A1F" w:rsidRDefault="00A62A1F" w:rsidP="00087D4F">
      <w:pPr>
        <w:pStyle w:val="BodyText"/>
        <w:ind w:left="1080"/>
      </w:pPr>
      <w:r w:rsidRPr="00A62A1F">
        <w:t>The consultant is advised that his or her signature on this contract certifies that the company/agency will comply with all provisions of this agreement, as well as applicable federal and state laws, regulations, and procedures.  Moreover</w:t>
      </w:r>
      <w:r w:rsidR="00EC334E">
        <w:t>,</w:t>
      </w:r>
      <w:r w:rsidRPr="00A62A1F">
        <w:t xml:space="preserve"> the consultant affirms its compliance with the federal Debarment and Suspension Certification and the Federal Restrictions on Lobbying.</w:t>
      </w:r>
    </w:p>
    <w:p w14:paraId="57C31974" w14:textId="72B46429" w:rsidR="00A62A1F" w:rsidRDefault="00A62A1F" w:rsidP="00DD6983">
      <w:pPr>
        <w:pStyle w:val="BodyText"/>
      </w:pPr>
    </w:p>
    <w:p w14:paraId="1DDDD62A" w14:textId="46B83A86" w:rsidR="00A62A1F" w:rsidRDefault="0518F0D3" w:rsidP="007B50B6">
      <w:pPr>
        <w:pStyle w:val="Heading2"/>
      </w:pPr>
      <w:r>
        <w:t>Subcontracting</w:t>
      </w:r>
    </w:p>
    <w:p w14:paraId="2A4F830B" w14:textId="61AD209E" w:rsidR="00A62A1F" w:rsidRDefault="00A62A1F" w:rsidP="00087D4F">
      <w:pPr>
        <w:pStyle w:val="BodyText"/>
        <w:ind w:left="1080"/>
      </w:pPr>
      <w:r w:rsidRPr="00A62A1F">
        <w:t>The contractor may, with prior approval from the MPO, subcontract as necessary to accomplish the contract objectives.  Subcontracts shall contain all applicable provisions of this agreement, and copies of the subcon</w:t>
      </w:r>
      <w:r w:rsidR="00DA47F6">
        <w:t xml:space="preserve">sultant request forms, as provided in </w:t>
      </w:r>
      <w:r w:rsidR="001B2B92" w:rsidRPr="003C2F99">
        <w:t>Appendix A,</w:t>
      </w:r>
      <w:r w:rsidRPr="00A62A1F">
        <w:t xml:space="preserve"> must be filed with the</w:t>
      </w:r>
      <w:r w:rsidR="004A4E2A">
        <w:t xml:space="preserve"> Forks</w:t>
      </w:r>
      <w:r w:rsidRPr="00A62A1F">
        <w:t xml:space="preserve"> MPO.</w:t>
      </w:r>
    </w:p>
    <w:p w14:paraId="1E66FD8F" w14:textId="701A2911" w:rsidR="00A62A1F" w:rsidRDefault="00A62A1F" w:rsidP="00DD6983">
      <w:pPr>
        <w:pStyle w:val="BodyText"/>
      </w:pPr>
    </w:p>
    <w:p w14:paraId="6E095F0E" w14:textId="6C99A525" w:rsidR="00A62A1F" w:rsidRDefault="0518F0D3" w:rsidP="007B50B6">
      <w:pPr>
        <w:pStyle w:val="Heading2"/>
      </w:pPr>
      <w:r>
        <w:t>Assignments</w:t>
      </w:r>
    </w:p>
    <w:p w14:paraId="5F6E3A5D" w14:textId="4700705E" w:rsidR="00A62A1F" w:rsidRDefault="00A62A1F" w:rsidP="00087D4F">
      <w:pPr>
        <w:pStyle w:val="BodyText"/>
        <w:ind w:left="1080"/>
      </w:pPr>
      <w:r w:rsidRPr="00A62A1F">
        <w:t>The contractor shall not assign or transfer the contractor’s interest in this agreement without the express written consent of the MPO.</w:t>
      </w:r>
    </w:p>
    <w:p w14:paraId="76E394F8" w14:textId="13D6F199" w:rsidR="00A62A1F" w:rsidRDefault="00A62A1F" w:rsidP="00DD6983">
      <w:pPr>
        <w:pStyle w:val="BodyText"/>
      </w:pPr>
    </w:p>
    <w:p w14:paraId="79949CDA" w14:textId="3D7D8351" w:rsidR="00A62A1F" w:rsidRDefault="0518F0D3" w:rsidP="007B50B6">
      <w:pPr>
        <w:pStyle w:val="Heading2"/>
      </w:pPr>
      <w:r>
        <w:t>Procurement- Property Management</w:t>
      </w:r>
    </w:p>
    <w:p w14:paraId="51B94F4F" w14:textId="6DFFBF21" w:rsidR="00A62A1F" w:rsidRDefault="00A62A1F" w:rsidP="00087D4F">
      <w:pPr>
        <w:pStyle w:val="BodyText"/>
        <w:ind w:left="1170"/>
      </w:pPr>
      <w:r w:rsidRPr="00A62A1F">
        <w:t xml:space="preserve">The contractor shall adhere to 49 CFR 18.36 when procuring services, supplies, or equipment, and to the applicable provisions of 49 CFR 18.32 and FHWA Safety Grant Management Manual, Transmittal 14, October 5, </w:t>
      </w:r>
      <w:r w:rsidR="00A84122" w:rsidRPr="00A62A1F">
        <w:t>1995,</w:t>
      </w:r>
      <w:r w:rsidRPr="00A62A1F">
        <w:t xml:space="preserve"> Property Management Standards, which are incorporated into this agreement by reference, and are available from the North Dakota Department of Transportation.</w:t>
      </w:r>
    </w:p>
    <w:p w14:paraId="754A5EFD" w14:textId="412B0ACB" w:rsidR="00A62A1F" w:rsidRDefault="00A62A1F" w:rsidP="00DD6983">
      <w:pPr>
        <w:pStyle w:val="BodyText"/>
      </w:pPr>
    </w:p>
    <w:p w14:paraId="49F0EE21" w14:textId="276A7A07" w:rsidR="00EC334E" w:rsidRDefault="1734CBA7" w:rsidP="007B50B6">
      <w:pPr>
        <w:pStyle w:val="Heading2"/>
      </w:pPr>
      <w:r>
        <w:t>Termination</w:t>
      </w:r>
    </w:p>
    <w:p w14:paraId="76E1C69E" w14:textId="449CEFA1" w:rsidR="00EC334E" w:rsidRDefault="00EC334E" w:rsidP="00087D4F">
      <w:pPr>
        <w:pStyle w:val="BodyText"/>
        <w:spacing w:after="120"/>
        <w:ind w:left="1080"/>
      </w:pPr>
      <w:r w:rsidRPr="00EC334E">
        <w:t>The right is reserved by either party to terminate this agreement with or without cause at any time if the recipient does not comply with the provisions of this agreement or its attachments.</w:t>
      </w:r>
    </w:p>
    <w:p w14:paraId="2735DBA6" w14:textId="7B54EC12" w:rsidR="00EC334E" w:rsidRDefault="00EC334E" w:rsidP="00087D4F">
      <w:pPr>
        <w:pStyle w:val="BodyText"/>
        <w:ind w:left="1080"/>
      </w:pPr>
      <w:r w:rsidRPr="00EC334E">
        <w:t xml:space="preserve">If the MPO terminates this agreement, it reserves the right to take such action as it deems necessary and appropriate to protect the interests of the MPO, and its state/federal grantor agencies.  Such action may include refusing to make any additional reimbursements of funds and requiring the return of all or </w:t>
      </w:r>
      <w:proofErr w:type="gramStart"/>
      <w:r w:rsidRPr="00EC334E">
        <w:t>part of any</w:t>
      </w:r>
      <w:proofErr w:type="gramEnd"/>
      <w:r w:rsidRPr="00EC334E">
        <w:t xml:space="preserve"> funds that have already been disbursed.</w:t>
      </w:r>
    </w:p>
    <w:p w14:paraId="03F15738" w14:textId="5CABA961" w:rsidR="00EC334E" w:rsidRDefault="00EC334E" w:rsidP="00DD6983">
      <w:pPr>
        <w:pStyle w:val="BodyText"/>
      </w:pPr>
    </w:p>
    <w:p w14:paraId="2F2F93D2" w14:textId="69D054F3" w:rsidR="00EC334E" w:rsidRPr="00E22083" w:rsidRDefault="1734CBA7" w:rsidP="007B50B6">
      <w:pPr>
        <w:pStyle w:val="Heading2"/>
      </w:pPr>
      <w:r w:rsidRPr="00E22083">
        <w:t>Amendments</w:t>
      </w:r>
    </w:p>
    <w:p w14:paraId="63566568" w14:textId="21B1BBB9" w:rsidR="00EC334E" w:rsidRPr="00E22083" w:rsidRDefault="00EC334E" w:rsidP="00087D4F">
      <w:pPr>
        <w:pStyle w:val="BodyText"/>
        <w:ind w:left="1080"/>
      </w:pPr>
      <w:r w:rsidRPr="00E22083">
        <w:t xml:space="preserve">The terms of this agreement shall not be waived, altered, modified, supplemented, or amended in any manner whatsoever, except by </w:t>
      </w:r>
      <w:r w:rsidR="005E63A5" w:rsidRPr="00E22083">
        <w:t>the written</w:t>
      </w:r>
      <w:r w:rsidRPr="00E22083">
        <w:t xml:space="preserve"> instrument signed by the parties.</w:t>
      </w:r>
    </w:p>
    <w:p w14:paraId="45CF6903" w14:textId="40FC6D0F" w:rsidR="00EC334E" w:rsidRPr="00E22083" w:rsidRDefault="00EC334E" w:rsidP="00DD6983">
      <w:pPr>
        <w:pStyle w:val="BodyText"/>
      </w:pPr>
    </w:p>
    <w:p w14:paraId="73C07A45" w14:textId="40E2D243" w:rsidR="00EC334E" w:rsidRPr="00E22083" w:rsidRDefault="1734CBA7" w:rsidP="007B50B6">
      <w:pPr>
        <w:pStyle w:val="Heading2"/>
      </w:pPr>
      <w:r w:rsidRPr="00E22083">
        <w:t>Civil Rights</w:t>
      </w:r>
    </w:p>
    <w:p w14:paraId="45A52BFF" w14:textId="3AB7AE2D" w:rsidR="00EC334E" w:rsidRPr="00E22083" w:rsidRDefault="00EC334E" w:rsidP="00087D4F">
      <w:pPr>
        <w:pStyle w:val="BodyText"/>
        <w:spacing w:after="120"/>
        <w:ind w:left="1080"/>
      </w:pPr>
      <w:r w:rsidRPr="00E22083">
        <w:t>The contractor will comply with all the requirements imposed by Title VI of the Civil Rights Act of 1964 (78 STAT. 252), the regulation of the Federal Department of Transportation, 49 CF</w:t>
      </w:r>
      <w:r w:rsidR="00D24274" w:rsidRPr="00E22083">
        <w:t>R</w:t>
      </w:r>
      <w:r w:rsidRPr="00E22083">
        <w:t>, Part 21.</w:t>
      </w:r>
    </w:p>
    <w:p w14:paraId="447138E4" w14:textId="780658F9" w:rsidR="00EC334E" w:rsidRPr="00E22083" w:rsidRDefault="00EC334E" w:rsidP="00087D4F">
      <w:pPr>
        <w:pStyle w:val="BodyText"/>
        <w:ind w:left="1080"/>
      </w:pPr>
      <w:r w:rsidRPr="00E22083">
        <w:t xml:space="preserve">The contractor shall not discriminate against any employee or applicant for employment because of race, religion, color, sex, age, handicap, or national origin.  The contractor shall take affirmative </w:t>
      </w:r>
      <w:r w:rsidRPr="00E22083">
        <w:lastRenderedPageBreak/>
        <w:t>action to ensure that applicants are employed and that employees are treated during their employment without regard to their race, religion, color, sex, age, handicap, or national origin.  Such actions shall include but not be limited to the following: employment, upgrading, demotion or transfer, recruitment or advertising, layoff or termination, rates of pay, or other forms of compensation, and selection for training, including apprenticeship.  Furthermore, the contractor agrees to insert a similar provision in all subcontracts, except subcontracts for standard commercial supplies or raw materials.</w:t>
      </w:r>
    </w:p>
    <w:p w14:paraId="269052DA" w14:textId="09C73B8E" w:rsidR="00EC334E" w:rsidRPr="00F06880" w:rsidRDefault="00EC334E" w:rsidP="00DD6983">
      <w:pPr>
        <w:pStyle w:val="BodyText"/>
      </w:pPr>
    </w:p>
    <w:p w14:paraId="686C01F0" w14:textId="34800D3A" w:rsidR="00EC334E" w:rsidRPr="00F06880" w:rsidRDefault="1734CBA7" w:rsidP="007B50B6">
      <w:pPr>
        <w:pStyle w:val="Heading2"/>
      </w:pPr>
      <w:r w:rsidRPr="00F06880">
        <w:t>Civil Rights- Noncompliance</w:t>
      </w:r>
    </w:p>
    <w:p w14:paraId="3744C715" w14:textId="16C445F3" w:rsidR="00EC334E" w:rsidRPr="00F06880" w:rsidRDefault="00EC334E" w:rsidP="00087D4F">
      <w:pPr>
        <w:pStyle w:val="BodyText"/>
        <w:ind w:left="1080"/>
      </w:pPr>
      <w:r w:rsidRPr="00F06880">
        <w:t xml:space="preserve">If the contractor fails to comply with the federal or state civil rights requirements of this contract, sanctions may be imposed by the FHWA or the </w:t>
      </w:r>
      <w:r w:rsidR="003F3D32" w:rsidRPr="00B31F89">
        <w:t>MPO</w:t>
      </w:r>
      <w:r w:rsidRPr="00F06880">
        <w:t xml:space="preserve"> as may be appropriate, including, but not limited to:</w:t>
      </w:r>
    </w:p>
    <w:p w14:paraId="08732B90" w14:textId="4CE93C7C" w:rsidR="00EC334E" w:rsidRPr="00F06880" w:rsidRDefault="00CF50AC" w:rsidP="00087D4F">
      <w:pPr>
        <w:pStyle w:val="BodyText"/>
        <w:numPr>
          <w:ilvl w:val="0"/>
          <w:numId w:val="13"/>
        </w:numPr>
        <w:ind w:left="1440"/>
      </w:pPr>
      <w:r w:rsidRPr="00F06880">
        <w:t>Withholding</w:t>
      </w:r>
      <w:r w:rsidR="00EC334E" w:rsidRPr="00F06880">
        <w:t xml:space="preserve"> payments to the contractor under the contract until the </w:t>
      </w:r>
      <w:r w:rsidR="00973995" w:rsidRPr="00F06880">
        <w:t>contractor complies, or</w:t>
      </w:r>
    </w:p>
    <w:p w14:paraId="3954BB07" w14:textId="41B04969" w:rsidR="00973995" w:rsidRPr="00F06880" w:rsidRDefault="00973995" w:rsidP="00087D4F">
      <w:pPr>
        <w:pStyle w:val="BodyText"/>
        <w:numPr>
          <w:ilvl w:val="0"/>
          <w:numId w:val="13"/>
        </w:numPr>
        <w:ind w:left="1440"/>
      </w:pPr>
      <w:r w:rsidRPr="00F06880">
        <w:t>Cancellation, termination, or suspension of the contract, in whole or in part.</w:t>
      </w:r>
    </w:p>
    <w:p w14:paraId="22FD2699" w14:textId="64BE932C" w:rsidR="00973995" w:rsidRPr="000D6C86" w:rsidRDefault="00973995" w:rsidP="00DD6983">
      <w:pPr>
        <w:pStyle w:val="BodyText"/>
      </w:pPr>
    </w:p>
    <w:p w14:paraId="7D5CEC7D" w14:textId="79B47731" w:rsidR="00973995" w:rsidRPr="000D6C86" w:rsidRDefault="3A549124" w:rsidP="007B50B6">
      <w:pPr>
        <w:pStyle w:val="Heading2"/>
      </w:pPr>
      <w:r w:rsidRPr="000D6C86">
        <w:t>Energy Efficiency</w:t>
      </w:r>
    </w:p>
    <w:p w14:paraId="61B4A493" w14:textId="151B8D35" w:rsidR="00973995" w:rsidRPr="000D6C86" w:rsidRDefault="00973995" w:rsidP="00087D4F">
      <w:pPr>
        <w:pStyle w:val="BodyText"/>
        <w:ind w:left="1080"/>
      </w:pPr>
      <w:r w:rsidRPr="000D6C86">
        <w:t>The contractor shall comply with the standards and policies relating to energy efficiency which are contained in the North Dakota Energy Conservation Plan issues in compliance with the Energy Policy &amp; Conservation Act, Public Law 94-163, and Executive Order 11912.</w:t>
      </w:r>
    </w:p>
    <w:p w14:paraId="5D04F03C" w14:textId="218120AA" w:rsidR="00973995" w:rsidRPr="00414AE3" w:rsidRDefault="00973995" w:rsidP="00DD6983">
      <w:pPr>
        <w:pStyle w:val="BodyText"/>
      </w:pPr>
    </w:p>
    <w:p w14:paraId="06E0ACB4" w14:textId="2685D02E" w:rsidR="00973995" w:rsidRPr="00414AE3" w:rsidRDefault="795BA7E7" w:rsidP="007B50B6">
      <w:pPr>
        <w:pStyle w:val="Heading2"/>
      </w:pPr>
      <w:r w:rsidRPr="00414AE3">
        <w:t>Disabled</w:t>
      </w:r>
    </w:p>
    <w:p w14:paraId="7688328C" w14:textId="02F674DE" w:rsidR="00973995" w:rsidRPr="00414AE3" w:rsidRDefault="00973995" w:rsidP="00087D4F">
      <w:pPr>
        <w:pStyle w:val="BodyText"/>
        <w:ind w:left="1080"/>
      </w:pPr>
      <w:r w:rsidRPr="00414AE3">
        <w:t xml:space="preserve">The contractor shall ensure that no qualified </w:t>
      </w:r>
      <w:r w:rsidR="002C5405" w:rsidRPr="00414AE3">
        <w:t>disabled</w:t>
      </w:r>
      <w:r w:rsidRPr="00414AE3">
        <w:t xml:space="preserve"> individual, as defined in 29 US</w:t>
      </w:r>
      <w:r w:rsidR="001F334A" w:rsidRPr="00414AE3">
        <w:t>C</w:t>
      </w:r>
      <w:r w:rsidRPr="00414AE3">
        <w:t xml:space="preserve"> 7</w:t>
      </w:r>
      <w:r w:rsidR="006551E2" w:rsidRPr="00414AE3">
        <w:t>94</w:t>
      </w:r>
      <w:r w:rsidRPr="00414AE3">
        <w:t xml:space="preserve"> and 49 CFR Part 27 shall, solely by reason of this </w:t>
      </w:r>
      <w:r w:rsidR="002C5405" w:rsidRPr="00414AE3">
        <w:t>disability</w:t>
      </w:r>
      <w:r w:rsidRPr="00414AE3">
        <w:t>, be excluded from participation in, be denied the benefits of, or otherwise be subjected to discrimination under any program or activity that receives or benefits from the assistance under this agreement.</w:t>
      </w:r>
    </w:p>
    <w:p w14:paraId="6F13F330" w14:textId="6B6558CB" w:rsidR="00973995" w:rsidRPr="00177C1F" w:rsidRDefault="00973995" w:rsidP="00DD6983">
      <w:pPr>
        <w:pStyle w:val="BodyText"/>
      </w:pPr>
    </w:p>
    <w:p w14:paraId="696CE9A8" w14:textId="0EC453A0" w:rsidR="00973995" w:rsidRPr="00177C1F" w:rsidRDefault="3A549124" w:rsidP="007B50B6">
      <w:pPr>
        <w:pStyle w:val="Heading2"/>
      </w:pPr>
      <w:r w:rsidRPr="00177C1F">
        <w:t>Clean</w:t>
      </w:r>
      <w:r w:rsidR="0034697D" w:rsidRPr="00177C1F">
        <w:t xml:space="preserve"> Air</w:t>
      </w:r>
      <w:r w:rsidRPr="00177C1F">
        <w:t xml:space="preserve"> Act and Clean Water Act</w:t>
      </w:r>
    </w:p>
    <w:p w14:paraId="3F984CCE" w14:textId="3B1F746F" w:rsidR="00973995" w:rsidRPr="00177C1F" w:rsidRDefault="00973995" w:rsidP="00087D4F">
      <w:pPr>
        <w:pStyle w:val="BodyText"/>
        <w:ind w:left="1080"/>
      </w:pPr>
      <w:r w:rsidRPr="00177C1F">
        <w:t>The contractor shall comply with the Clean Air Act, 42 U.S.C. 1857</w:t>
      </w:r>
      <w:r w:rsidR="00620495" w:rsidRPr="00177C1F">
        <w:t>- Tran</w:t>
      </w:r>
      <w:r w:rsidR="00684C21" w:rsidRPr="00177C1F">
        <w:t>sferred</w:t>
      </w:r>
      <w:r w:rsidRPr="00177C1F">
        <w:t>; the Clean Water Act, 33 U.S.C. 1251; EPA regulations under 40 CFR Part 15, which prohibits the use of nonexempt federal contracts, grants, or loans of facilities included on the EPA List of Violating Facilities, and Executive Order 11738.</w:t>
      </w:r>
    </w:p>
    <w:p w14:paraId="43796E7A" w14:textId="2490269F" w:rsidR="003E19E0" w:rsidRPr="00177C1F" w:rsidRDefault="003E19E0" w:rsidP="00DD6983">
      <w:pPr>
        <w:pStyle w:val="BodyText"/>
      </w:pPr>
    </w:p>
    <w:p w14:paraId="4E106BB1" w14:textId="00CD2316" w:rsidR="003E19E0" w:rsidRPr="00177C1F" w:rsidRDefault="29D5C320" w:rsidP="007B50B6">
      <w:pPr>
        <w:pStyle w:val="Heading2"/>
      </w:pPr>
      <w:r w:rsidRPr="00177C1F">
        <w:t>Successors in Interest</w:t>
      </w:r>
    </w:p>
    <w:p w14:paraId="40C11186" w14:textId="77A7B027" w:rsidR="003E19E0" w:rsidRPr="00177C1F" w:rsidRDefault="003E19E0" w:rsidP="00087D4F">
      <w:pPr>
        <w:pStyle w:val="BodyText"/>
        <w:ind w:left="1080"/>
      </w:pPr>
      <w:r w:rsidRPr="00177C1F">
        <w:t xml:space="preserve">The provisions of this agreement shall be binding upon and shall </w:t>
      </w:r>
      <w:r w:rsidR="00CF50AC" w:rsidRPr="00177C1F">
        <w:t>ensure</w:t>
      </w:r>
      <w:r w:rsidRPr="00177C1F">
        <w:t xml:space="preserve"> the benefit of the parties hereby, and their respective successors and assigns.</w:t>
      </w:r>
    </w:p>
    <w:p w14:paraId="762C3BB4" w14:textId="19FB5DF5" w:rsidR="003E19E0" w:rsidRPr="00541B29" w:rsidRDefault="003E19E0" w:rsidP="00DD6983">
      <w:pPr>
        <w:pStyle w:val="BodyText"/>
      </w:pPr>
    </w:p>
    <w:p w14:paraId="496AB9FF" w14:textId="1D2D962A" w:rsidR="003E19E0" w:rsidRPr="00541B29" w:rsidRDefault="29D5C320" w:rsidP="007B50B6">
      <w:pPr>
        <w:pStyle w:val="Heading2"/>
      </w:pPr>
      <w:r w:rsidRPr="00541B29">
        <w:t>Waivers</w:t>
      </w:r>
    </w:p>
    <w:p w14:paraId="3237CCA9" w14:textId="3C27229B" w:rsidR="003E19E0" w:rsidRPr="00541B29" w:rsidRDefault="003E19E0" w:rsidP="00087D4F">
      <w:pPr>
        <w:pStyle w:val="BodyText"/>
        <w:ind w:left="1080"/>
      </w:pPr>
      <w:r w:rsidRPr="00541B29">
        <w:t>The failure of the MPO or its local state/federal grantors to enforce any provisions of this contract shall not constitute a waiver by the MPO or its state/federal grantors of that or any other provision.</w:t>
      </w:r>
    </w:p>
    <w:p w14:paraId="44675B31" w14:textId="4C223A32" w:rsidR="003E19E0" w:rsidRPr="00541B29" w:rsidRDefault="003E19E0" w:rsidP="00DD6983">
      <w:pPr>
        <w:pStyle w:val="BodyText"/>
      </w:pPr>
    </w:p>
    <w:p w14:paraId="71A9D5FF" w14:textId="1E519EAC" w:rsidR="003E19E0" w:rsidRPr="00B039C1" w:rsidRDefault="29D5C320" w:rsidP="007B50B6">
      <w:pPr>
        <w:pStyle w:val="Heading2"/>
      </w:pPr>
      <w:r w:rsidRPr="00B039C1">
        <w:t>Notice</w:t>
      </w:r>
    </w:p>
    <w:p w14:paraId="41FF4517" w14:textId="3375234F" w:rsidR="003E19E0" w:rsidRPr="00B039C1" w:rsidRDefault="003E19E0" w:rsidP="00087D4F">
      <w:pPr>
        <w:pStyle w:val="BodyText"/>
        <w:ind w:left="1080"/>
      </w:pPr>
      <w:r w:rsidRPr="00B039C1">
        <w:t xml:space="preserve">All notices, certificates, or other communications shall be sufficiently given when delivered or </w:t>
      </w:r>
      <w:r w:rsidRPr="00B039C1">
        <w:lastRenderedPageBreak/>
        <w:t>mailed, postage prepaid, to the parties at their respective places of business as set forth below or at a place designated hereafter in writing by the parties.</w:t>
      </w:r>
    </w:p>
    <w:p w14:paraId="2FD8667E" w14:textId="1BE0AC9E" w:rsidR="003E19E0" w:rsidRPr="001317A8" w:rsidRDefault="003E19E0" w:rsidP="00DD6983">
      <w:pPr>
        <w:pStyle w:val="BodyText"/>
      </w:pPr>
    </w:p>
    <w:p w14:paraId="2C1768A5" w14:textId="52A53B86" w:rsidR="003E19E0" w:rsidRPr="001317A8" w:rsidRDefault="29D5C320" w:rsidP="007B50B6">
      <w:pPr>
        <w:pStyle w:val="Heading2"/>
      </w:pPr>
      <w:r w:rsidRPr="001317A8">
        <w:t>Hold Harmless</w:t>
      </w:r>
    </w:p>
    <w:p w14:paraId="4FBB7CD1" w14:textId="758C0D1E" w:rsidR="003E19E0" w:rsidRPr="001317A8" w:rsidRDefault="003E19E0" w:rsidP="00087D4F">
      <w:pPr>
        <w:pStyle w:val="BodyText"/>
        <w:ind w:left="1080"/>
      </w:pPr>
      <w:r w:rsidRPr="001317A8">
        <w:t>The contractor shall save and hold harmless the MPO, its officer, agents, employees, and members, and the State of North Dakota and Minnesota and the NDDOT and MnDOT, its officers, agents, employees, and members from all claims, suits, or actions of whatsoever nature resulting from or arising out of the activities of the contractor or its subcontractors, agents, or employees under this agreement.  It is hereby understood and agreed that any and all employees of the contractor and all other persons employed by the contractor in the performance of any of the services required or provided for under this agreement shall not be considered employees of the MPO, the NDDOT, or the MnDOT and that any and all claims that may arise under the Worker’s Compensation Act on behalf of said employees while so engaged and any and all claims by any third parties as a consequence of any act or omission on the part of said contractor’s employees while so engaged in any of the services to be rendered under this agreement by the contractor shall in no way be the obligation or responsibility of the MPO.</w:t>
      </w:r>
    </w:p>
    <w:p w14:paraId="18E035DB" w14:textId="6C7ED312" w:rsidR="003E19E0" w:rsidRPr="009E6A59" w:rsidRDefault="003E19E0" w:rsidP="00DD6983">
      <w:pPr>
        <w:pStyle w:val="BodyText"/>
      </w:pPr>
    </w:p>
    <w:p w14:paraId="7700F0AF" w14:textId="057A962C" w:rsidR="003E19E0" w:rsidRPr="009E6A59" w:rsidRDefault="29D5C320" w:rsidP="007B50B6">
      <w:pPr>
        <w:pStyle w:val="Heading2"/>
      </w:pPr>
      <w:r w:rsidRPr="009E6A59">
        <w:t xml:space="preserve">Compliance with </w:t>
      </w:r>
      <w:r w:rsidR="00311865" w:rsidRPr="009E6A59">
        <w:t xml:space="preserve">State and </w:t>
      </w:r>
      <w:r w:rsidRPr="009E6A59">
        <w:t>Federal Regulations</w:t>
      </w:r>
    </w:p>
    <w:p w14:paraId="7C7F0105" w14:textId="2822C6C6" w:rsidR="003E19E0" w:rsidRDefault="006C7B9B" w:rsidP="00087D4F">
      <w:pPr>
        <w:pStyle w:val="BodyText"/>
        <w:ind w:left="1080"/>
      </w:pPr>
      <w:r w:rsidRPr="009E6A59">
        <w:t>The contractor is advised that his or her signature on this contract certifies that its firm will comply with all provisions of this agreement as well as applicable</w:t>
      </w:r>
      <w:r w:rsidR="0062416A" w:rsidRPr="009E6A59">
        <w:t xml:space="preserve"> state and</w:t>
      </w:r>
      <w:r w:rsidRPr="009E6A59">
        <w:t xml:space="preserve"> federal laws, </w:t>
      </w:r>
      <w:r w:rsidR="00A84122" w:rsidRPr="009E6A59">
        <w:t>regulations</w:t>
      </w:r>
      <w:r w:rsidRPr="009E6A59">
        <w:t>, and procedures.  Moreover, the contractor affirms its compliance with the federal Debarment and Suspension Certification and the federal Restrictions on Lobbying.</w:t>
      </w:r>
    </w:p>
    <w:p w14:paraId="44AC6A47" w14:textId="77777777" w:rsidR="00EE6E5D" w:rsidRDefault="00EE6E5D" w:rsidP="00087D4F">
      <w:pPr>
        <w:pStyle w:val="BodyText"/>
        <w:ind w:left="1080"/>
      </w:pPr>
    </w:p>
    <w:p w14:paraId="3D2FC0C1" w14:textId="06168ED0" w:rsidR="00EE6E5D" w:rsidRPr="009E6A59" w:rsidRDefault="00EE6E5D" w:rsidP="00087D4F">
      <w:pPr>
        <w:pStyle w:val="BodyText"/>
        <w:ind w:left="1080"/>
      </w:pPr>
      <w:r w:rsidRPr="003962E0">
        <w:t>Required contract</w:t>
      </w:r>
      <w:r w:rsidR="00556D5B" w:rsidRPr="003962E0">
        <w:t xml:space="preserve"> provisions which will need to be included within a contract are included within the Appendix C.</w:t>
      </w:r>
      <w:r w:rsidR="00556D5B">
        <w:t xml:space="preserve"> </w:t>
      </w:r>
    </w:p>
    <w:p w14:paraId="7CB943AF" w14:textId="6A669977" w:rsidR="006C7B9B" w:rsidRPr="00AA00AA" w:rsidRDefault="006C7B9B" w:rsidP="00DD6983">
      <w:pPr>
        <w:pStyle w:val="BodyText"/>
      </w:pPr>
    </w:p>
    <w:p w14:paraId="7D1A6509" w14:textId="5A12D1D9" w:rsidR="006C7B9B" w:rsidRPr="00AA00AA" w:rsidRDefault="00375E05" w:rsidP="00DD6983">
      <w:pPr>
        <w:pStyle w:val="Heading1"/>
      </w:pPr>
      <w:bookmarkStart w:id="9" w:name="_Toc172279721"/>
      <w:bookmarkStart w:id="10" w:name="_Toc193968941"/>
      <w:r>
        <w:t xml:space="preserve">Anticipated </w:t>
      </w:r>
      <w:r w:rsidR="006C7B9B" w:rsidRPr="00AA00AA">
        <w:t>Preliminary Project Schedule</w:t>
      </w:r>
      <w:bookmarkEnd w:id="9"/>
      <w:bookmarkEnd w:id="10"/>
      <w:r w:rsidR="0027212C">
        <w:t xml:space="preserve"> </w:t>
      </w:r>
    </w:p>
    <w:p w14:paraId="4B45E30B" w14:textId="2B050125" w:rsidR="006C7B9B" w:rsidRPr="00860B1B" w:rsidRDefault="006C7B9B" w:rsidP="007303F0">
      <w:pPr>
        <w:pStyle w:val="Heading2"/>
      </w:pPr>
      <w:r w:rsidRPr="00860B1B">
        <w:t>Consultant Selection</w:t>
      </w:r>
    </w:p>
    <w:tbl>
      <w:tblPr>
        <w:tblW w:w="8280" w:type="dxa"/>
        <w:jc w:val="center"/>
        <w:tblLook w:val="04A0" w:firstRow="1" w:lastRow="0" w:firstColumn="1" w:lastColumn="0" w:noHBand="0" w:noVBand="1"/>
      </w:tblPr>
      <w:tblGrid>
        <w:gridCol w:w="4590"/>
        <w:gridCol w:w="3690"/>
      </w:tblGrid>
      <w:tr w:rsidR="006C7B9B" w:rsidRPr="00AA00AA" w14:paraId="5B437673" w14:textId="77777777" w:rsidTr="00871A26">
        <w:trPr>
          <w:trHeight w:val="300"/>
          <w:jc w:val="center"/>
        </w:trPr>
        <w:tc>
          <w:tcPr>
            <w:tcW w:w="4590" w:type="dxa"/>
            <w:tcBorders>
              <w:top w:val="nil"/>
              <w:left w:val="nil"/>
              <w:bottom w:val="single" w:sz="8" w:space="0" w:color="auto"/>
              <w:right w:val="nil"/>
            </w:tcBorders>
            <w:vAlign w:val="bottom"/>
          </w:tcPr>
          <w:p w14:paraId="762E1238" w14:textId="2115B0ED" w:rsidR="006C7B9B" w:rsidRPr="00AA00AA" w:rsidRDefault="006C7B9B" w:rsidP="00DD6983">
            <w:pPr>
              <w:rPr>
                <w:highlight w:val="yellow"/>
              </w:rPr>
            </w:pPr>
          </w:p>
        </w:tc>
        <w:tc>
          <w:tcPr>
            <w:tcW w:w="3690" w:type="dxa"/>
            <w:tcBorders>
              <w:top w:val="nil"/>
              <w:left w:val="nil"/>
              <w:bottom w:val="single" w:sz="8" w:space="0" w:color="auto"/>
              <w:right w:val="nil"/>
            </w:tcBorders>
            <w:noWrap/>
            <w:vAlign w:val="bottom"/>
          </w:tcPr>
          <w:p w14:paraId="607DF596" w14:textId="72F0F5E1" w:rsidR="006C7B9B" w:rsidRPr="00AA00AA" w:rsidRDefault="006C7B9B" w:rsidP="00DD6983">
            <w:pPr>
              <w:rPr>
                <w:highlight w:val="yellow"/>
              </w:rPr>
            </w:pPr>
          </w:p>
        </w:tc>
      </w:tr>
      <w:tr w:rsidR="006C7B9B" w:rsidRPr="0023416A" w14:paraId="3BF9C7E2" w14:textId="77777777" w:rsidTr="00871A26">
        <w:trPr>
          <w:trHeight w:val="300"/>
          <w:jc w:val="center"/>
        </w:trPr>
        <w:tc>
          <w:tcPr>
            <w:tcW w:w="4590" w:type="dxa"/>
            <w:tcBorders>
              <w:top w:val="nil"/>
              <w:left w:val="nil"/>
              <w:bottom w:val="single" w:sz="8" w:space="0" w:color="auto"/>
              <w:right w:val="nil"/>
            </w:tcBorders>
            <w:noWrap/>
            <w:vAlign w:val="bottom"/>
          </w:tcPr>
          <w:p w14:paraId="4623F663" w14:textId="2946E7A5" w:rsidR="006C7B9B" w:rsidRPr="0023416A" w:rsidRDefault="00210187" w:rsidP="00A86380">
            <w:pPr>
              <w:ind w:left="-10"/>
            </w:pPr>
            <w:proofErr w:type="gramStart"/>
            <w:r w:rsidRPr="0023416A">
              <w:t>Advertise</w:t>
            </w:r>
            <w:proofErr w:type="gramEnd"/>
            <w:r w:rsidRPr="0023416A">
              <w:t xml:space="preserve"> RFP to Qualified Firms</w:t>
            </w:r>
          </w:p>
        </w:tc>
        <w:tc>
          <w:tcPr>
            <w:tcW w:w="3690" w:type="dxa"/>
            <w:tcBorders>
              <w:top w:val="nil"/>
              <w:left w:val="nil"/>
              <w:bottom w:val="single" w:sz="8" w:space="0" w:color="auto"/>
              <w:right w:val="nil"/>
            </w:tcBorders>
            <w:noWrap/>
            <w:vAlign w:val="bottom"/>
          </w:tcPr>
          <w:p w14:paraId="6CB02148" w14:textId="7EE49B2D" w:rsidR="006C7B9B" w:rsidRPr="00A80A91" w:rsidRDefault="00C37678" w:rsidP="00A86380">
            <w:pPr>
              <w:ind w:left="-10"/>
              <w:rPr>
                <w:color w:val="000000"/>
                <w:highlight w:val="yellow"/>
              </w:rPr>
            </w:pPr>
            <w:r w:rsidRPr="00A80A91">
              <w:t xml:space="preserve">March 20, 2026 </w:t>
            </w:r>
            <w:r w:rsidR="2DD68913" w:rsidRPr="00A80A91">
              <w:t xml:space="preserve">– </w:t>
            </w:r>
            <w:r w:rsidRPr="00A80A91">
              <w:t>April 17</w:t>
            </w:r>
            <w:r w:rsidR="42A88164" w:rsidRPr="00A80A91">
              <w:t>, 202</w:t>
            </w:r>
            <w:r w:rsidR="0023416A" w:rsidRPr="00A80A91">
              <w:t>6</w:t>
            </w:r>
          </w:p>
        </w:tc>
      </w:tr>
      <w:tr w:rsidR="006C7B9B" w:rsidRPr="00AA00AA" w14:paraId="3A4505C0" w14:textId="77777777" w:rsidTr="00871A26">
        <w:trPr>
          <w:trHeight w:val="60"/>
          <w:jc w:val="center"/>
        </w:trPr>
        <w:tc>
          <w:tcPr>
            <w:tcW w:w="4590" w:type="dxa"/>
            <w:tcBorders>
              <w:top w:val="nil"/>
              <w:left w:val="nil"/>
              <w:bottom w:val="single" w:sz="8" w:space="0" w:color="auto"/>
              <w:right w:val="nil"/>
            </w:tcBorders>
            <w:noWrap/>
            <w:vAlign w:val="bottom"/>
          </w:tcPr>
          <w:p w14:paraId="78760556" w14:textId="5FA9A281" w:rsidR="006C7B9B" w:rsidRPr="0023416A" w:rsidRDefault="00210187" w:rsidP="00A86380">
            <w:pPr>
              <w:ind w:left="-10"/>
            </w:pPr>
            <w:r w:rsidRPr="0023416A">
              <w:t>Receive Proposals</w:t>
            </w:r>
          </w:p>
        </w:tc>
        <w:tc>
          <w:tcPr>
            <w:tcW w:w="3690" w:type="dxa"/>
            <w:tcBorders>
              <w:top w:val="nil"/>
              <w:left w:val="nil"/>
              <w:bottom w:val="single" w:sz="8" w:space="0" w:color="auto"/>
              <w:right w:val="nil"/>
            </w:tcBorders>
            <w:noWrap/>
            <w:vAlign w:val="bottom"/>
          </w:tcPr>
          <w:p w14:paraId="62B7A515" w14:textId="7EAAAF47" w:rsidR="006C7B9B" w:rsidRPr="00A80A91" w:rsidRDefault="0023416A" w:rsidP="00A86380">
            <w:pPr>
              <w:ind w:left="-10"/>
              <w:rPr>
                <w:color w:val="000000"/>
              </w:rPr>
            </w:pPr>
            <w:r w:rsidRPr="00A80A91">
              <w:t>5pm</w:t>
            </w:r>
            <w:r w:rsidR="5803285C" w:rsidRPr="00A80A91">
              <w:t xml:space="preserve"> on </w:t>
            </w:r>
            <w:r w:rsidRPr="00A80A91">
              <w:t>April 17, 2026</w:t>
            </w:r>
          </w:p>
        </w:tc>
      </w:tr>
      <w:tr w:rsidR="006C7B9B" w:rsidRPr="00AA00AA" w14:paraId="50F4A787" w14:textId="77777777" w:rsidTr="00871A26">
        <w:trPr>
          <w:trHeight w:val="300"/>
          <w:jc w:val="center"/>
        </w:trPr>
        <w:tc>
          <w:tcPr>
            <w:tcW w:w="4590" w:type="dxa"/>
            <w:tcBorders>
              <w:top w:val="nil"/>
              <w:left w:val="nil"/>
              <w:bottom w:val="single" w:sz="8" w:space="0" w:color="auto"/>
              <w:right w:val="nil"/>
            </w:tcBorders>
            <w:noWrap/>
            <w:vAlign w:val="bottom"/>
            <w:hideMark/>
          </w:tcPr>
          <w:p w14:paraId="04FA588A" w14:textId="43ABC68E" w:rsidR="006C7B9B" w:rsidRPr="00BC526D" w:rsidRDefault="006C7B9B" w:rsidP="00A86380">
            <w:pPr>
              <w:ind w:left="-10"/>
            </w:pPr>
            <w:r w:rsidRPr="00BC526D">
              <w:t xml:space="preserve">Review </w:t>
            </w:r>
            <w:r w:rsidRPr="003962E0">
              <w:t>Proposals</w:t>
            </w:r>
            <w:r w:rsidR="00CC370F" w:rsidRPr="003962E0">
              <w:t xml:space="preserve"> and</w:t>
            </w:r>
            <w:r w:rsidR="00F425D7" w:rsidRPr="003962E0">
              <w:t xml:space="preserve"> Cutdown</w:t>
            </w:r>
          </w:p>
        </w:tc>
        <w:tc>
          <w:tcPr>
            <w:tcW w:w="3690" w:type="dxa"/>
            <w:tcBorders>
              <w:top w:val="nil"/>
              <w:left w:val="nil"/>
              <w:bottom w:val="single" w:sz="8" w:space="0" w:color="auto"/>
              <w:right w:val="nil"/>
            </w:tcBorders>
            <w:noWrap/>
            <w:vAlign w:val="bottom"/>
            <w:hideMark/>
          </w:tcPr>
          <w:p w14:paraId="13236C0B" w14:textId="04CAE6E4" w:rsidR="006C7B9B" w:rsidRPr="003C2F99" w:rsidRDefault="00F67E95" w:rsidP="00A86380">
            <w:pPr>
              <w:ind w:left="-10"/>
              <w:rPr>
                <w:color w:val="000000"/>
              </w:rPr>
            </w:pPr>
            <w:r w:rsidRPr="003C2F99">
              <w:t>April 20-</w:t>
            </w:r>
            <w:r w:rsidR="00BC526D" w:rsidRPr="003C2F99">
              <w:t>24, 2026</w:t>
            </w:r>
          </w:p>
        </w:tc>
      </w:tr>
      <w:tr w:rsidR="00980B80" w:rsidRPr="00AA00AA" w14:paraId="794D2FD4" w14:textId="77777777" w:rsidTr="00871A26">
        <w:trPr>
          <w:trHeight w:val="300"/>
          <w:jc w:val="center"/>
        </w:trPr>
        <w:tc>
          <w:tcPr>
            <w:tcW w:w="4590" w:type="dxa"/>
            <w:tcBorders>
              <w:top w:val="nil"/>
              <w:left w:val="nil"/>
              <w:bottom w:val="single" w:sz="8" w:space="0" w:color="auto"/>
              <w:right w:val="nil"/>
            </w:tcBorders>
            <w:noWrap/>
            <w:vAlign w:val="bottom"/>
            <w:hideMark/>
          </w:tcPr>
          <w:p w14:paraId="54CBD576" w14:textId="041FC597" w:rsidR="00980B80" w:rsidRPr="00980B80" w:rsidRDefault="00980B80" w:rsidP="00A86380">
            <w:pPr>
              <w:ind w:left="-10"/>
            </w:pPr>
            <w:r w:rsidRPr="00980B80">
              <w:t>Interview the Finalists</w:t>
            </w:r>
          </w:p>
        </w:tc>
        <w:tc>
          <w:tcPr>
            <w:tcW w:w="3690" w:type="dxa"/>
            <w:tcBorders>
              <w:top w:val="nil"/>
              <w:left w:val="nil"/>
              <w:bottom w:val="single" w:sz="8" w:space="0" w:color="auto"/>
              <w:right w:val="nil"/>
            </w:tcBorders>
            <w:noWrap/>
            <w:vAlign w:val="bottom"/>
            <w:hideMark/>
          </w:tcPr>
          <w:p w14:paraId="2AC8ED87" w14:textId="46D45D06" w:rsidR="00980B80" w:rsidRPr="003C2F99" w:rsidRDefault="00980B80" w:rsidP="00A86380">
            <w:pPr>
              <w:ind w:left="-10"/>
              <w:rPr>
                <w:color w:val="000000"/>
              </w:rPr>
            </w:pPr>
            <w:r w:rsidRPr="003C2F99">
              <w:t>Week of May 4, 2026</w:t>
            </w:r>
          </w:p>
        </w:tc>
      </w:tr>
      <w:tr w:rsidR="00375E05" w:rsidRPr="00AA00AA" w14:paraId="1643CC13" w14:textId="77777777" w:rsidTr="00871A26">
        <w:trPr>
          <w:trHeight w:val="300"/>
          <w:jc w:val="center"/>
        </w:trPr>
        <w:tc>
          <w:tcPr>
            <w:tcW w:w="4590" w:type="dxa"/>
            <w:tcBorders>
              <w:top w:val="nil"/>
              <w:left w:val="nil"/>
              <w:bottom w:val="single" w:sz="8" w:space="0" w:color="auto"/>
              <w:right w:val="nil"/>
            </w:tcBorders>
            <w:noWrap/>
            <w:vAlign w:val="bottom"/>
          </w:tcPr>
          <w:p w14:paraId="5B8620B1" w14:textId="6563633A" w:rsidR="00375E05" w:rsidRPr="005C500A" w:rsidRDefault="00375E05" w:rsidP="00A86380">
            <w:pPr>
              <w:ind w:left="-10"/>
            </w:pPr>
            <w:r w:rsidRPr="005C500A">
              <w:t>Contract Negotiations</w:t>
            </w:r>
          </w:p>
        </w:tc>
        <w:tc>
          <w:tcPr>
            <w:tcW w:w="3690" w:type="dxa"/>
            <w:tcBorders>
              <w:top w:val="nil"/>
              <w:left w:val="nil"/>
              <w:bottom w:val="single" w:sz="8" w:space="0" w:color="auto"/>
              <w:right w:val="nil"/>
            </w:tcBorders>
            <w:noWrap/>
            <w:vAlign w:val="bottom"/>
          </w:tcPr>
          <w:p w14:paraId="43A118DE" w14:textId="5AFEF5CA" w:rsidR="00375E05" w:rsidRPr="003C2F99" w:rsidRDefault="00375E05" w:rsidP="00A86380">
            <w:pPr>
              <w:ind w:left="-10"/>
              <w:rPr>
                <w:color w:val="000000"/>
              </w:rPr>
            </w:pPr>
            <w:r w:rsidRPr="003C2F99">
              <w:t xml:space="preserve">Week of </w:t>
            </w:r>
            <w:r w:rsidR="005C500A" w:rsidRPr="003C2F99">
              <w:t>May 11, 2026</w:t>
            </w:r>
          </w:p>
        </w:tc>
      </w:tr>
      <w:tr w:rsidR="00123126" w:rsidRPr="00AA00AA" w14:paraId="1E801CC5" w14:textId="77777777" w:rsidTr="00871A26">
        <w:trPr>
          <w:trHeight w:val="300"/>
          <w:jc w:val="center"/>
        </w:trPr>
        <w:tc>
          <w:tcPr>
            <w:tcW w:w="4590" w:type="dxa"/>
            <w:tcBorders>
              <w:top w:val="nil"/>
              <w:left w:val="nil"/>
              <w:bottom w:val="single" w:sz="8" w:space="0" w:color="auto"/>
              <w:right w:val="nil"/>
            </w:tcBorders>
            <w:noWrap/>
            <w:vAlign w:val="bottom"/>
          </w:tcPr>
          <w:p w14:paraId="07F286CA" w14:textId="41B00B67" w:rsidR="00123126" w:rsidRPr="009F5413" w:rsidRDefault="00115101" w:rsidP="00A86380">
            <w:pPr>
              <w:ind w:left="-10"/>
            </w:pPr>
            <w:r w:rsidRPr="009F5413">
              <w:t>MPO TAC Approval</w:t>
            </w:r>
          </w:p>
        </w:tc>
        <w:tc>
          <w:tcPr>
            <w:tcW w:w="3690" w:type="dxa"/>
            <w:tcBorders>
              <w:top w:val="nil"/>
              <w:left w:val="nil"/>
              <w:bottom w:val="single" w:sz="8" w:space="0" w:color="auto"/>
              <w:right w:val="nil"/>
            </w:tcBorders>
            <w:noWrap/>
            <w:vAlign w:val="bottom"/>
          </w:tcPr>
          <w:p w14:paraId="7E29A3DC" w14:textId="16C89F72" w:rsidR="00123126" w:rsidRPr="009F5413" w:rsidRDefault="00115101" w:rsidP="00A86380">
            <w:pPr>
              <w:ind w:left="-10"/>
            </w:pPr>
            <w:r w:rsidRPr="009F5413">
              <w:t>May 13, 2026</w:t>
            </w:r>
          </w:p>
        </w:tc>
      </w:tr>
      <w:tr w:rsidR="00375E05" w:rsidRPr="00AA00AA" w14:paraId="4FBF2A46" w14:textId="77777777" w:rsidTr="00871A26">
        <w:trPr>
          <w:trHeight w:val="300"/>
          <w:jc w:val="center"/>
        </w:trPr>
        <w:tc>
          <w:tcPr>
            <w:tcW w:w="4590" w:type="dxa"/>
            <w:tcBorders>
              <w:top w:val="nil"/>
              <w:left w:val="nil"/>
              <w:bottom w:val="single" w:sz="8" w:space="0" w:color="auto"/>
              <w:right w:val="nil"/>
            </w:tcBorders>
            <w:noWrap/>
            <w:vAlign w:val="bottom"/>
          </w:tcPr>
          <w:p w14:paraId="10BE085D" w14:textId="14C4EE35" w:rsidR="00375E05" w:rsidRPr="00860B1B" w:rsidRDefault="00375E05" w:rsidP="00A86380">
            <w:pPr>
              <w:ind w:left="-10"/>
            </w:pPr>
            <w:r w:rsidRPr="00860B1B">
              <w:t xml:space="preserve">MPO Executive Board Approval </w:t>
            </w:r>
          </w:p>
        </w:tc>
        <w:tc>
          <w:tcPr>
            <w:tcW w:w="3690" w:type="dxa"/>
            <w:tcBorders>
              <w:top w:val="nil"/>
              <w:left w:val="nil"/>
              <w:bottom w:val="single" w:sz="8" w:space="0" w:color="auto"/>
              <w:right w:val="nil"/>
            </w:tcBorders>
            <w:noWrap/>
            <w:vAlign w:val="bottom"/>
          </w:tcPr>
          <w:p w14:paraId="6553826B" w14:textId="1237E511" w:rsidR="00375E05" w:rsidRPr="003C2F99" w:rsidRDefault="00860B1B" w:rsidP="00A86380">
            <w:pPr>
              <w:ind w:left="-10"/>
              <w:rPr>
                <w:color w:val="000000"/>
              </w:rPr>
            </w:pPr>
            <w:r w:rsidRPr="003C2F99">
              <w:t>May 20, 2026</w:t>
            </w:r>
          </w:p>
        </w:tc>
      </w:tr>
      <w:tr w:rsidR="00375E05" w:rsidRPr="00AA00AA" w14:paraId="768DBFB3" w14:textId="77777777" w:rsidTr="00060072">
        <w:trPr>
          <w:trHeight w:val="300"/>
          <w:jc w:val="center"/>
        </w:trPr>
        <w:tc>
          <w:tcPr>
            <w:tcW w:w="4590" w:type="dxa"/>
            <w:tcBorders>
              <w:top w:val="nil"/>
              <w:left w:val="nil"/>
              <w:bottom w:val="nil"/>
              <w:right w:val="nil"/>
            </w:tcBorders>
            <w:noWrap/>
            <w:vAlign w:val="bottom"/>
          </w:tcPr>
          <w:p w14:paraId="6FB44E1A" w14:textId="6251D77C" w:rsidR="00375E05" w:rsidRPr="00AA00AA" w:rsidRDefault="00375E05" w:rsidP="00A86380">
            <w:pPr>
              <w:ind w:left="-10"/>
              <w:rPr>
                <w:highlight w:val="yellow"/>
              </w:rPr>
            </w:pPr>
          </w:p>
        </w:tc>
        <w:tc>
          <w:tcPr>
            <w:tcW w:w="3690" w:type="dxa"/>
            <w:tcBorders>
              <w:top w:val="nil"/>
              <w:left w:val="nil"/>
              <w:bottom w:val="nil"/>
              <w:right w:val="nil"/>
            </w:tcBorders>
            <w:noWrap/>
            <w:vAlign w:val="bottom"/>
          </w:tcPr>
          <w:p w14:paraId="73253C78" w14:textId="78C4A096" w:rsidR="00375E05" w:rsidRPr="00AA00AA" w:rsidRDefault="00375E05" w:rsidP="00A86380">
            <w:pPr>
              <w:ind w:left="-10"/>
              <w:rPr>
                <w:color w:val="000000"/>
                <w:highlight w:val="yellow"/>
              </w:rPr>
            </w:pPr>
          </w:p>
        </w:tc>
      </w:tr>
      <w:tr w:rsidR="00375E05" w:rsidRPr="00AA00AA" w14:paraId="0013D4B7" w14:textId="77777777" w:rsidTr="005B162F">
        <w:trPr>
          <w:trHeight w:val="300"/>
          <w:jc w:val="center"/>
        </w:trPr>
        <w:tc>
          <w:tcPr>
            <w:tcW w:w="4590" w:type="dxa"/>
            <w:tcBorders>
              <w:top w:val="nil"/>
              <w:left w:val="nil"/>
              <w:bottom w:val="nil"/>
              <w:right w:val="nil"/>
            </w:tcBorders>
            <w:noWrap/>
            <w:vAlign w:val="bottom"/>
          </w:tcPr>
          <w:p w14:paraId="02B4DC3E" w14:textId="0425CE28" w:rsidR="00375E05" w:rsidRPr="00AA00AA" w:rsidRDefault="00375E05" w:rsidP="00051DE1">
            <w:pPr>
              <w:ind w:left="0"/>
              <w:rPr>
                <w:highlight w:val="yellow"/>
              </w:rPr>
            </w:pPr>
          </w:p>
        </w:tc>
        <w:tc>
          <w:tcPr>
            <w:tcW w:w="3690" w:type="dxa"/>
            <w:tcBorders>
              <w:top w:val="nil"/>
              <w:left w:val="nil"/>
              <w:bottom w:val="nil"/>
              <w:right w:val="nil"/>
            </w:tcBorders>
            <w:noWrap/>
            <w:vAlign w:val="bottom"/>
          </w:tcPr>
          <w:p w14:paraId="6F71E966" w14:textId="396286A9" w:rsidR="00375E05" w:rsidRPr="00AA00AA" w:rsidRDefault="00375E05" w:rsidP="00A86380">
            <w:pPr>
              <w:ind w:left="-10"/>
              <w:rPr>
                <w:color w:val="000000"/>
              </w:rPr>
            </w:pPr>
          </w:p>
        </w:tc>
      </w:tr>
      <w:tr w:rsidR="00375E05" w:rsidRPr="00AA00AA" w14:paraId="5E048569" w14:textId="77777777" w:rsidTr="00871A26">
        <w:trPr>
          <w:trHeight w:val="300"/>
          <w:jc w:val="center"/>
        </w:trPr>
        <w:tc>
          <w:tcPr>
            <w:tcW w:w="4590" w:type="dxa"/>
            <w:tcBorders>
              <w:top w:val="nil"/>
              <w:left w:val="nil"/>
              <w:bottom w:val="nil"/>
              <w:right w:val="nil"/>
            </w:tcBorders>
            <w:noWrap/>
            <w:vAlign w:val="bottom"/>
          </w:tcPr>
          <w:p w14:paraId="3817A04B" w14:textId="478E550B" w:rsidR="00375E05" w:rsidRPr="00AA00AA" w:rsidRDefault="00375E05" w:rsidP="00051DE1">
            <w:pPr>
              <w:ind w:left="0"/>
            </w:pPr>
          </w:p>
        </w:tc>
        <w:tc>
          <w:tcPr>
            <w:tcW w:w="3690" w:type="dxa"/>
            <w:tcBorders>
              <w:top w:val="nil"/>
              <w:left w:val="nil"/>
              <w:bottom w:val="nil"/>
              <w:right w:val="nil"/>
            </w:tcBorders>
            <w:noWrap/>
            <w:vAlign w:val="bottom"/>
          </w:tcPr>
          <w:p w14:paraId="7D6D1D28" w14:textId="514462C7" w:rsidR="00375E05" w:rsidRPr="00AA00AA" w:rsidRDefault="00375E05" w:rsidP="00DD6983"/>
        </w:tc>
      </w:tr>
    </w:tbl>
    <w:p w14:paraId="7E41AB4E" w14:textId="77777777" w:rsidR="00F51152" w:rsidRDefault="00F51152" w:rsidP="000F257C">
      <w:pPr>
        <w:ind w:left="0"/>
        <w:rPr>
          <w:highlight w:val="yellow"/>
        </w:rPr>
      </w:pPr>
    </w:p>
    <w:p w14:paraId="5C21FC3C" w14:textId="77777777" w:rsidR="00DD2A18" w:rsidRPr="00434B54" w:rsidRDefault="00DD2A18" w:rsidP="000F257C">
      <w:pPr>
        <w:ind w:left="0"/>
        <w:rPr>
          <w:highlight w:val="yellow"/>
        </w:rPr>
      </w:pPr>
    </w:p>
    <w:p w14:paraId="6AC22FE8" w14:textId="1D4880EE" w:rsidR="0075036E" w:rsidRPr="003C2F99" w:rsidRDefault="00E77505" w:rsidP="007303F0">
      <w:pPr>
        <w:pStyle w:val="Heading2"/>
      </w:pPr>
      <w:r w:rsidRPr="003C2F99">
        <w:lastRenderedPageBreak/>
        <w:t>Project Development</w:t>
      </w:r>
      <w:r w:rsidR="00CA40B8" w:rsidRPr="003C2F99">
        <w:t xml:space="preserve"> Milestones</w:t>
      </w:r>
    </w:p>
    <w:p w14:paraId="5E8421B0" w14:textId="0E0D4E15" w:rsidR="00E77505" w:rsidRPr="003C2F99" w:rsidRDefault="00E77505" w:rsidP="00DD6983"/>
    <w:tbl>
      <w:tblPr>
        <w:tblW w:w="8280" w:type="dxa"/>
        <w:tblInd w:w="1080" w:type="dxa"/>
        <w:tblLook w:val="04A0" w:firstRow="1" w:lastRow="0" w:firstColumn="1" w:lastColumn="0" w:noHBand="0" w:noVBand="1"/>
      </w:tblPr>
      <w:tblGrid>
        <w:gridCol w:w="5310"/>
        <w:gridCol w:w="2970"/>
      </w:tblGrid>
      <w:tr w:rsidR="00360E1B" w:rsidRPr="003C2F99" w14:paraId="0D158028" w14:textId="77777777" w:rsidTr="00E56659">
        <w:trPr>
          <w:trHeight w:val="312"/>
        </w:trPr>
        <w:tc>
          <w:tcPr>
            <w:tcW w:w="5310" w:type="dxa"/>
            <w:tcBorders>
              <w:top w:val="single" w:sz="4" w:space="0" w:color="auto"/>
              <w:left w:val="nil"/>
              <w:bottom w:val="single" w:sz="4" w:space="0" w:color="auto"/>
              <w:right w:val="nil"/>
            </w:tcBorders>
            <w:noWrap/>
            <w:vAlign w:val="bottom"/>
            <w:hideMark/>
          </w:tcPr>
          <w:p w14:paraId="45BCA668" w14:textId="77777777" w:rsidR="00360E1B" w:rsidRPr="003C2F99" w:rsidRDefault="00360E1B" w:rsidP="00360E1B">
            <w:pPr>
              <w:ind w:left="0"/>
              <w:rPr>
                <w:rFonts w:ascii="Calibri" w:eastAsia="Times New Roman" w:hAnsi="Calibri" w:cs="Calibri"/>
                <w:color w:val="000000"/>
              </w:rPr>
            </w:pPr>
            <w:r w:rsidRPr="003C2F99">
              <w:rPr>
                <w:rFonts w:ascii="Calibri" w:eastAsia="Times New Roman" w:hAnsi="Calibri" w:cs="Calibri"/>
                <w:color w:val="000000"/>
              </w:rPr>
              <w:t>Notice to Proceed by or before:</w:t>
            </w:r>
          </w:p>
        </w:tc>
        <w:tc>
          <w:tcPr>
            <w:tcW w:w="2970" w:type="dxa"/>
            <w:tcBorders>
              <w:top w:val="single" w:sz="4" w:space="0" w:color="auto"/>
              <w:left w:val="nil"/>
              <w:bottom w:val="single" w:sz="4" w:space="0" w:color="auto"/>
              <w:right w:val="nil"/>
            </w:tcBorders>
            <w:noWrap/>
            <w:vAlign w:val="bottom"/>
            <w:hideMark/>
          </w:tcPr>
          <w:p w14:paraId="7148B35A" w14:textId="49374319" w:rsidR="00360E1B" w:rsidRPr="003C2F99" w:rsidRDefault="00317D43" w:rsidP="00360E1B">
            <w:pPr>
              <w:ind w:left="0"/>
              <w:rPr>
                <w:rFonts w:ascii="Calibri" w:eastAsia="Times New Roman" w:hAnsi="Calibri" w:cs="Calibri"/>
                <w:color w:val="auto"/>
              </w:rPr>
            </w:pPr>
            <w:r w:rsidRPr="003962E0">
              <w:rPr>
                <w:rFonts w:ascii="Calibri" w:eastAsia="Times New Roman" w:hAnsi="Calibri" w:cs="Calibri"/>
                <w:color w:val="auto"/>
              </w:rPr>
              <w:t>May 2</w:t>
            </w:r>
            <w:r w:rsidR="003962E0">
              <w:rPr>
                <w:rFonts w:ascii="Calibri" w:eastAsia="Times New Roman" w:hAnsi="Calibri" w:cs="Calibri"/>
                <w:color w:val="auto"/>
              </w:rPr>
              <w:t>6</w:t>
            </w:r>
            <w:r w:rsidR="00360E1B" w:rsidRPr="003C2F99">
              <w:rPr>
                <w:rFonts w:ascii="Calibri" w:eastAsia="Times New Roman" w:hAnsi="Calibri" w:cs="Calibri"/>
                <w:color w:val="auto"/>
              </w:rPr>
              <w:t>, 202</w:t>
            </w:r>
            <w:r w:rsidRPr="003C2F99">
              <w:rPr>
                <w:rFonts w:ascii="Calibri" w:eastAsia="Times New Roman" w:hAnsi="Calibri" w:cs="Calibri"/>
                <w:color w:val="auto"/>
              </w:rPr>
              <w:t>6</w:t>
            </w:r>
          </w:p>
        </w:tc>
      </w:tr>
      <w:tr w:rsidR="00360E1B" w:rsidRPr="003C2F99" w14:paraId="2E953ED9" w14:textId="77777777" w:rsidTr="00E56659">
        <w:trPr>
          <w:trHeight w:val="624"/>
        </w:trPr>
        <w:tc>
          <w:tcPr>
            <w:tcW w:w="5310" w:type="dxa"/>
            <w:tcBorders>
              <w:top w:val="nil"/>
              <w:left w:val="nil"/>
              <w:bottom w:val="single" w:sz="4" w:space="0" w:color="auto"/>
              <w:right w:val="nil"/>
            </w:tcBorders>
            <w:vAlign w:val="bottom"/>
            <w:hideMark/>
          </w:tcPr>
          <w:p w14:paraId="0CE226C5" w14:textId="40B7470C" w:rsidR="00360E1B" w:rsidRPr="003C2F99" w:rsidRDefault="00A55027" w:rsidP="00360E1B">
            <w:pPr>
              <w:ind w:left="0"/>
              <w:rPr>
                <w:rFonts w:ascii="Calibri" w:eastAsia="Times New Roman" w:hAnsi="Calibri" w:cs="Calibri"/>
                <w:color w:val="000000"/>
              </w:rPr>
            </w:pPr>
            <w:r w:rsidRPr="003C2F99">
              <w:rPr>
                <w:rFonts w:ascii="Calibri" w:eastAsia="Times New Roman" w:hAnsi="Calibri" w:cs="Calibri"/>
                <w:color w:val="000000"/>
              </w:rPr>
              <w:t>Completion of Public Involvement Plan MTP/TDP</w:t>
            </w:r>
          </w:p>
        </w:tc>
        <w:tc>
          <w:tcPr>
            <w:tcW w:w="2970" w:type="dxa"/>
            <w:tcBorders>
              <w:top w:val="nil"/>
              <w:left w:val="nil"/>
              <w:bottom w:val="single" w:sz="4" w:space="0" w:color="auto"/>
              <w:right w:val="nil"/>
            </w:tcBorders>
            <w:noWrap/>
            <w:vAlign w:val="bottom"/>
            <w:hideMark/>
          </w:tcPr>
          <w:p w14:paraId="5AF61BCC" w14:textId="01E2DAF7" w:rsidR="00360E1B" w:rsidRPr="003C2F99" w:rsidRDefault="00A55027" w:rsidP="00360E1B">
            <w:pPr>
              <w:ind w:left="0"/>
              <w:rPr>
                <w:rFonts w:ascii="Calibri" w:eastAsia="Times New Roman" w:hAnsi="Calibri" w:cs="Calibri"/>
                <w:color w:val="auto"/>
              </w:rPr>
            </w:pPr>
            <w:r w:rsidRPr="003C2F99">
              <w:rPr>
                <w:rFonts w:ascii="Calibri" w:eastAsia="Times New Roman" w:hAnsi="Calibri" w:cs="Calibri"/>
                <w:color w:val="auto"/>
              </w:rPr>
              <w:t xml:space="preserve">July </w:t>
            </w:r>
            <w:r w:rsidR="00EC5A73" w:rsidRPr="003C2F99">
              <w:rPr>
                <w:rFonts w:ascii="Calibri" w:eastAsia="Times New Roman" w:hAnsi="Calibri" w:cs="Calibri"/>
                <w:color w:val="auto"/>
              </w:rPr>
              <w:t>6, 2026</w:t>
            </w:r>
          </w:p>
        </w:tc>
      </w:tr>
      <w:tr w:rsidR="00360E1B" w:rsidRPr="003C2F99" w14:paraId="7AEE84E3" w14:textId="77777777" w:rsidTr="00BD366A">
        <w:trPr>
          <w:trHeight w:val="624"/>
        </w:trPr>
        <w:tc>
          <w:tcPr>
            <w:tcW w:w="5310" w:type="dxa"/>
            <w:tcBorders>
              <w:top w:val="single" w:sz="4" w:space="0" w:color="auto"/>
              <w:left w:val="nil"/>
              <w:bottom w:val="single" w:sz="4" w:space="0" w:color="auto"/>
              <w:right w:val="nil"/>
            </w:tcBorders>
            <w:vAlign w:val="bottom"/>
            <w:hideMark/>
          </w:tcPr>
          <w:p w14:paraId="2E98C73A" w14:textId="51B0F7C7" w:rsidR="00360E1B" w:rsidRPr="003C2F99" w:rsidRDefault="00DF4A9F" w:rsidP="00360E1B">
            <w:pPr>
              <w:ind w:left="0"/>
              <w:rPr>
                <w:rFonts w:ascii="Calibri" w:eastAsia="Times New Roman" w:hAnsi="Calibri" w:cs="Calibri"/>
                <w:color w:val="000000"/>
              </w:rPr>
            </w:pPr>
            <w:r w:rsidRPr="003C2F99">
              <w:rPr>
                <w:rFonts w:ascii="Calibri" w:eastAsia="Times New Roman" w:hAnsi="Calibri" w:cs="Calibri"/>
                <w:color w:val="000000"/>
              </w:rPr>
              <w:t xml:space="preserve">Introduction of </w:t>
            </w:r>
            <w:r w:rsidR="00E73833" w:rsidRPr="003C2F99">
              <w:rPr>
                <w:rFonts w:ascii="Calibri" w:eastAsia="Times New Roman" w:hAnsi="Calibri" w:cs="Calibri"/>
                <w:color w:val="000000"/>
              </w:rPr>
              <w:t>MTP/TDP to Councils</w:t>
            </w:r>
          </w:p>
        </w:tc>
        <w:tc>
          <w:tcPr>
            <w:tcW w:w="2970" w:type="dxa"/>
            <w:tcBorders>
              <w:top w:val="single" w:sz="4" w:space="0" w:color="auto"/>
              <w:left w:val="nil"/>
              <w:bottom w:val="single" w:sz="4" w:space="0" w:color="auto"/>
              <w:right w:val="nil"/>
            </w:tcBorders>
            <w:noWrap/>
            <w:vAlign w:val="bottom"/>
            <w:hideMark/>
          </w:tcPr>
          <w:p w14:paraId="361FBEFB" w14:textId="2EBFA3F0" w:rsidR="00360E1B" w:rsidRPr="003C2F99" w:rsidRDefault="00E73833" w:rsidP="00360E1B">
            <w:pPr>
              <w:ind w:left="0"/>
              <w:rPr>
                <w:rFonts w:ascii="Calibri" w:eastAsia="Times New Roman" w:hAnsi="Calibri" w:cs="Calibri"/>
                <w:color w:val="auto"/>
              </w:rPr>
            </w:pPr>
            <w:r w:rsidRPr="003C2F99">
              <w:rPr>
                <w:rFonts w:ascii="Calibri" w:eastAsia="Times New Roman" w:hAnsi="Calibri" w:cs="Calibri"/>
                <w:color w:val="auto"/>
              </w:rPr>
              <w:t>August-September, 2026</w:t>
            </w:r>
          </w:p>
        </w:tc>
      </w:tr>
      <w:tr w:rsidR="00360E1B" w:rsidRPr="003C2F99" w14:paraId="3CC421E1" w14:textId="77777777" w:rsidTr="00E56659">
        <w:trPr>
          <w:trHeight w:val="312"/>
        </w:trPr>
        <w:tc>
          <w:tcPr>
            <w:tcW w:w="5310" w:type="dxa"/>
            <w:tcBorders>
              <w:top w:val="nil"/>
              <w:left w:val="nil"/>
              <w:bottom w:val="single" w:sz="4" w:space="0" w:color="auto"/>
              <w:right w:val="nil"/>
            </w:tcBorders>
            <w:vAlign w:val="bottom"/>
            <w:hideMark/>
          </w:tcPr>
          <w:p w14:paraId="2B6CF346" w14:textId="28490E7B" w:rsidR="00360E1B" w:rsidRPr="003C2F99" w:rsidRDefault="00DF4A9F" w:rsidP="00360E1B">
            <w:pPr>
              <w:ind w:left="0"/>
              <w:rPr>
                <w:rFonts w:ascii="Calibri" w:eastAsia="Times New Roman" w:hAnsi="Calibri" w:cs="Calibri"/>
                <w:color w:val="000000"/>
              </w:rPr>
            </w:pPr>
            <w:r w:rsidRPr="003C2F99">
              <w:rPr>
                <w:rFonts w:ascii="Calibri" w:eastAsia="Times New Roman" w:hAnsi="Calibri" w:cs="Calibri"/>
                <w:color w:val="000000"/>
              </w:rPr>
              <w:t>Initial Public Input Listening Session MTP/TDP</w:t>
            </w:r>
          </w:p>
        </w:tc>
        <w:tc>
          <w:tcPr>
            <w:tcW w:w="2970" w:type="dxa"/>
            <w:tcBorders>
              <w:top w:val="nil"/>
              <w:left w:val="nil"/>
              <w:bottom w:val="single" w:sz="4" w:space="0" w:color="auto"/>
              <w:right w:val="nil"/>
            </w:tcBorders>
            <w:noWrap/>
            <w:vAlign w:val="bottom"/>
            <w:hideMark/>
          </w:tcPr>
          <w:p w14:paraId="0DBD932F" w14:textId="574AAFB7" w:rsidR="00360E1B" w:rsidRPr="003C2F99" w:rsidRDefault="00DF4A9F" w:rsidP="00360E1B">
            <w:pPr>
              <w:ind w:left="0"/>
              <w:rPr>
                <w:rFonts w:ascii="Calibri" w:eastAsia="Times New Roman" w:hAnsi="Calibri" w:cs="Calibri"/>
                <w:color w:val="auto"/>
              </w:rPr>
            </w:pPr>
            <w:r w:rsidRPr="003C2F99">
              <w:rPr>
                <w:rFonts w:ascii="Calibri" w:eastAsia="Times New Roman" w:hAnsi="Calibri" w:cs="Calibri"/>
                <w:color w:val="auto"/>
              </w:rPr>
              <w:t>October 2026</w:t>
            </w:r>
          </w:p>
        </w:tc>
      </w:tr>
      <w:tr w:rsidR="00360E1B" w:rsidRPr="003C2F99" w14:paraId="30F3C56B" w14:textId="77777777" w:rsidTr="00E56659">
        <w:trPr>
          <w:trHeight w:val="624"/>
        </w:trPr>
        <w:tc>
          <w:tcPr>
            <w:tcW w:w="5310" w:type="dxa"/>
            <w:tcBorders>
              <w:top w:val="nil"/>
              <w:left w:val="nil"/>
              <w:bottom w:val="single" w:sz="4" w:space="0" w:color="auto"/>
              <w:right w:val="nil"/>
            </w:tcBorders>
            <w:vAlign w:val="bottom"/>
            <w:hideMark/>
          </w:tcPr>
          <w:p w14:paraId="1FCE84CD" w14:textId="5B36D971" w:rsidR="00520AD5" w:rsidRPr="003C2F99" w:rsidRDefault="00E758F1" w:rsidP="00360E1B">
            <w:pPr>
              <w:ind w:left="0"/>
              <w:rPr>
                <w:rFonts w:ascii="Calibri" w:eastAsia="Times New Roman" w:hAnsi="Calibri" w:cs="Calibri"/>
                <w:color w:val="000000"/>
              </w:rPr>
            </w:pPr>
            <w:r w:rsidRPr="003C2F99">
              <w:rPr>
                <w:rFonts w:ascii="Calibri" w:eastAsia="Times New Roman" w:hAnsi="Calibri" w:cs="Calibri"/>
                <w:color w:val="000000"/>
              </w:rPr>
              <w:t>Public Presentation of Draft TDP Alternatives</w:t>
            </w:r>
          </w:p>
          <w:p w14:paraId="4B548A3B" w14:textId="4F4A788D" w:rsidR="00520AD5" w:rsidRPr="003C2F99" w:rsidRDefault="00E758F1" w:rsidP="00360E1B">
            <w:pPr>
              <w:ind w:left="0"/>
              <w:rPr>
                <w:rFonts w:ascii="Calibri" w:eastAsia="Times New Roman" w:hAnsi="Calibri" w:cs="Calibri"/>
                <w:color w:val="000000"/>
              </w:rPr>
            </w:pPr>
            <w:r w:rsidRPr="003C2F99">
              <w:rPr>
                <w:rFonts w:ascii="Calibri" w:eastAsia="Times New Roman" w:hAnsi="Calibri" w:cs="Calibri"/>
                <w:color w:val="000000"/>
              </w:rPr>
              <w:t>Second Round MTP Public Input</w:t>
            </w:r>
          </w:p>
        </w:tc>
        <w:tc>
          <w:tcPr>
            <w:tcW w:w="2970" w:type="dxa"/>
            <w:tcBorders>
              <w:top w:val="nil"/>
              <w:left w:val="nil"/>
              <w:bottom w:val="single" w:sz="4" w:space="0" w:color="auto"/>
              <w:right w:val="nil"/>
            </w:tcBorders>
            <w:noWrap/>
            <w:vAlign w:val="bottom"/>
            <w:hideMark/>
          </w:tcPr>
          <w:p w14:paraId="0547DCF1" w14:textId="36A3849E" w:rsidR="00360E1B" w:rsidRPr="003C2F99" w:rsidRDefault="00D56D02" w:rsidP="00360E1B">
            <w:pPr>
              <w:ind w:left="0"/>
              <w:rPr>
                <w:rFonts w:ascii="Calibri" w:eastAsia="Times New Roman" w:hAnsi="Calibri" w:cs="Calibri"/>
                <w:color w:val="auto"/>
              </w:rPr>
            </w:pPr>
            <w:r w:rsidRPr="003C2F99">
              <w:rPr>
                <w:rFonts w:ascii="Calibri" w:eastAsia="Times New Roman" w:hAnsi="Calibri" w:cs="Calibri"/>
                <w:color w:val="auto"/>
              </w:rPr>
              <w:t>June</w:t>
            </w:r>
            <w:r w:rsidR="00E04742" w:rsidRPr="003C2F99">
              <w:rPr>
                <w:rFonts w:ascii="Calibri" w:eastAsia="Times New Roman" w:hAnsi="Calibri" w:cs="Calibri"/>
                <w:color w:val="auto"/>
              </w:rPr>
              <w:t xml:space="preserve"> 2027</w:t>
            </w:r>
          </w:p>
        </w:tc>
      </w:tr>
      <w:tr w:rsidR="00360E1B" w:rsidRPr="003C2F99" w14:paraId="48C57B72" w14:textId="77777777" w:rsidTr="00E56659">
        <w:trPr>
          <w:trHeight w:val="312"/>
        </w:trPr>
        <w:tc>
          <w:tcPr>
            <w:tcW w:w="5310" w:type="dxa"/>
            <w:tcBorders>
              <w:top w:val="nil"/>
              <w:left w:val="nil"/>
              <w:bottom w:val="single" w:sz="4" w:space="0" w:color="auto"/>
              <w:right w:val="nil"/>
            </w:tcBorders>
            <w:noWrap/>
            <w:vAlign w:val="bottom"/>
            <w:hideMark/>
          </w:tcPr>
          <w:p w14:paraId="12E978BC" w14:textId="2D609A7A" w:rsidR="009A5E0E" w:rsidRPr="003C2F99" w:rsidRDefault="00E758F1" w:rsidP="00360E1B">
            <w:pPr>
              <w:ind w:left="0"/>
              <w:rPr>
                <w:rFonts w:ascii="Calibri" w:eastAsia="Times New Roman" w:hAnsi="Calibri" w:cs="Calibri"/>
                <w:color w:val="000000"/>
              </w:rPr>
            </w:pPr>
            <w:r w:rsidRPr="003C2F99">
              <w:rPr>
                <w:rFonts w:ascii="Calibri" w:eastAsia="Times New Roman" w:hAnsi="Calibri" w:cs="Calibri"/>
                <w:color w:val="000000"/>
              </w:rPr>
              <w:t>Draft TDP Available for Staff Review</w:t>
            </w:r>
          </w:p>
        </w:tc>
        <w:tc>
          <w:tcPr>
            <w:tcW w:w="2970" w:type="dxa"/>
            <w:tcBorders>
              <w:top w:val="nil"/>
              <w:left w:val="nil"/>
              <w:bottom w:val="single" w:sz="4" w:space="0" w:color="auto"/>
              <w:right w:val="nil"/>
            </w:tcBorders>
            <w:noWrap/>
            <w:vAlign w:val="bottom"/>
            <w:hideMark/>
          </w:tcPr>
          <w:p w14:paraId="21C97620" w14:textId="59B0269E" w:rsidR="00360E1B" w:rsidRPr="003C2F99" w:rsidRDefault="00D13BB0" w:rsidP="00360E1B">
            <w:pPr>
              <w:ind w:left="0"/>
              <w:rPr>
                <w:rFonts w:ascii="Calibri" w:eastAsia="Times New Roman" w:hAnsi="Calibri" w:cs="Calibri"/>
                <w:color w:val="auto"/>
              </w:rPr>
            </w:pPr>
            <w:r w:rsidRPr="003C2F99">
              <w:rPr>
                <w:rFonts w:ascii="Calibri" w:eastAsia="Times New Roman" w:hAnsi="Calibri" w:cs="Calibri"/>
                <w:color w:val="auto"/>
              </w:rPr>
              <w:t>July 2027</w:t>
            </w:r>
          </w:p>
        </w:tc>
      </w:tr>
      <w:tr w:rsidR="00360E1B" w:rsidRPr="003C2F99" w14:paraId="1EED3F3B" w14:textId="77777777" w:rsidTr="00B31581">
        <w:trPr>
          <w:trHeight w:val="312"/>
        </w:trPr>
        <w:tc>
          <w:tcPr>
            <w:tcW w:w="5310" w:type="dxa"/>
            <w:tcBorders>
              <w:top w:val="nil"/>
              <w:left w:val="nil"/>
              <w:bottom w:val="single" w:sz="4" w:space="0" w:color="auto"/>
              <w:right w:val="nil"/>
            </w:tcBorders>
            <w:noWrap/>
            <w:vAlign w:val="bottom"/>
          </w:tcPr>
          <w:p w14:paraId="5B1DABBD" w14:textId="032D05B7" w:rsidR="00360E1B" w:rsidRPr="003C2F99" w:rsidRDefault="00F6705C" w:rsidP="00360E1B">
            <w:pPr>
              <w:ind w:left="0"/>
              <w:rPr>
                <w:rFonts w:ascii="Calibri" w:eastAsia="Times New Roman" w:hAnsi="Calibri" w:cs="Calibri"/>
                <w:color w:val="000000"/>
              </w:rPr>
            </w:pPr>
            <w:r w:rsidRPr="003C2F99">
              <w:rPr>
                <w:rFonts w:ascii="Calibri" w:eastAsia="Times New Roman" w:hAnsi="Calibri" w:cs="Calibri"/>
                <w:color w:val="000000"/>
              </w:rPr>
              <w:t>Public Comment Period for Draft TDP</w:t>
            </w:r>
          </w:p>
        </w:tc>
        <w:tc>
          <w:tcPr>
            <w:tcW w:w="2970" w:type="dxa"/>
            <w:tcBorders>
              <w:top w:val="nil"/>
              <w:left w:val="nil"/>
              <w:bottom w:val="single" w:sz="4" w:space="0" w:color="auto"/>
              <w:right w:val="nil"/>
            </w:tcBorders>
            <w:noWrap/>
            <w:vAlign w:val="bottom"/>
            <w:hideMark/>
          </w:tcPr>
          <w:p w14:paraId="1C525E02" w14:textId="0B1DBF66" w:rsidR="00360E1B" w:rsidRPr="003C2F99" w:rsidRDefault="00F6705C" w:rsidP="00360E1B">
            <w:pPr>
              <w:ind w:left="0"/>
              <w:rPr>
                <w:rFonts w:ascii="Calibri" w:eastAsia="Times New Roman" w:hAnsi="Calibri" w:cs="Calibri"/>
                <w:color w:val="auto"/>
              </w:rPr>
            </w:pPr>
            <w:r w:rsidRPr="003C2F99">
              <w:rPr>
                <w:rFonts w:ascii="Calibri" w:eastAsia="Times New Roman" w:hAnsi="Calibri" w:cs="Calibri"/>
                <w:color w:val="auto"/>
              </w:rPr>
              <w:t>August-September 202</w:t>
            </w:r>
            <w:r w:rsidR="007274C2" w:rsidRPr="003C2F99">
              <w:rPr>
                <w:rFonts w:ascii="Calibri" w:eastAsia="Times New Roman" w:hAnsi="Calibri" w:cs="Calibri"/>
                <w:color w:val="auto"/>
              </w:rPr>
              <w:t>7</w:t>
            </w:r>
          </w:p>
        </w:tc>
      </w:tr>
      <w:tr w:rsidR="00360E1B" w:rsidRPr="003C2F99" w14:paraId="71143E56" w14:textId="77777777" w:rsidTr="00E56659">
        <w:trPr>
          <w:trHeight w:val="312"/>
        </w:trPr>
        <w:tc>
          <w:tcPr>
            <w:tcW w:w="5310" w:type="dxa"/>
            <w:tcBorders>
              <w:top w:val="nil"/>
              <w:left w:val="nil"/>
              <w:bottom w:val="single" w:sz="4" w:space="0" w:color="auto"/>
              <w:right w:val="nil"/>
            </w:tcBorders>
            <w:noWrap/>
            <w:vAlign w:val="bottom"/>
            <w:hideMark/>
          </w:tcPr>
          <w:p w14:paraId="1AC41261" w14:textId="08BBF1F4" w:rsidR="00360E1B" w:rsidRPr="003C2F99" w:rsidRDefault="007274C2" w:rsidP="00360E1B">
            <w:pPr>
              <w:ind w:left="0"/>
              <w:rPr>
                <w:rFonts w:ascii="Calibri" w:eastAsia="Times New Roman" w:hAnsi="Calibri" w:cs="Calibri"/>
                <w:color w:val="000000"/>
              </w:rPr>
            </w:pPr>
            <w:r w:rsidRPr="003C2F99">
              <w:rPr>
                <w:rFonts w:ascii="Calibri" w:eastAsia="Times New Roman" w:hAnsi="Calibri" w:cs="Calibri"/>
                <w:color w:val="000000"/>
              </w:rPr>
              <w:t xml:space="preserve">TDP Presentation to </w:t>
            </w:r>
            <w:r w:rsidR="00E33166" w:rsidRPr="003C2F99">
              <w:rPr>
                <w:rFonts w:ascii="Calibri" w:eastAsia="Times New Roman" w:hAnsi="Calibri" w:cs="Calibri"/>
                <w:color w:val="000000"/>
              </w:rPr>
              <w:t xml:space="preserve">MPO </w:t>
            </w:r>
            <w:r w:rsidRPr="003C2F99">
              <w:rPr>
                <w:rFonts w:ascii="Calibri" w:eastAsia="Times New Roman" w:hAnsi="Calibri" w:cs="Calibri"/>
                <w:color w:val="000000"/>
              </w:rPr>
              <w:t>Councils for Adoption</w:t>
            </w:r>
          </w:p>
          <w:p w14:paraId="0E9F7F5F" w14:textId="7762AD44" w:rsidR="00A07138" w:rsidRPr="003C2F99" w:rsidRDefault="00A07138" w:rsidP="00360E1B">
            <w:pPr>
              <w:ind w:left="0"/>
              <w:rPr>
                <w:rFonts w:ascii="Calibri" w:eastAsia="Times New Roman" w:hAnsi="Calibri" w:cs="Calibri"/>
                <w:color w:val="000000"/>
              </w:rPr>
            </w:pPr>
            <w:r w:rsidRPr="003C2F99">
              <w:rPr>
                <w:rFonts w:ascii="Calibri" w:eastAsia="Times New Roman" w:hAnsi="Calibri" w:cs="Calibri"/>
                <w:color w:val="000000"/>
              </w:rPr>
              <w:t>MTP Update</w:t>
            </w:r>
          </w:p>
        </w:tc>
        <w:tc>
          <w:tcPr>
            <w:tcW w:w="2970" w:type="dxa"/>
            <w:tcBorders>
              <w:top w:val="nil"/>
              <w:left w:val="nil"/>
              <w:bottom w:val="single" w:sz="4" w:space="0" w:color="auto"/>
              <w:right w:val="nil"/>
            </w:tcBorders>
            <w:noWrap/>
            <w:vAlign w:val="bottom"/>
            <w:hideMark/>
          </w:tcPr>
          <w:p w14:paraId="17E61730" w14:textId="101419A6" w:rsidR="00360E1B" w:rsidRPr="003C2F99" w:rsidRDefault="00A07138" w:rsidP="00360E1B">
            <w:pPr>
              <w:ind w:left="0"/>
              <w:rPr>
                <w:rFonts w:ascii="Calibri" w:eastAsia="Times New Roman" w:hAnsi="Calibri" w:cs="Calibri"/>
                <w:color w:val="auto"/>
              </w:rPr>
            </w:pPr>
            <w:r w:rsidRPr="003C2F99">
              <w:rPr>
                <w:rFonts w:ascii="Calibri" w:eastAsia="Times New Roman" w:hAnsi="Calibri" w:cs="Calibri"/>
                <w:color w:val="auto"/>
              </w:rPr>
              <w:t>September-October 2027</w:t>
            </w:r>
          </w:p>
        </w:tc>
      </w:tr>
      <w:tr w:rsidR="00360E1B" w:rsidRPr="003C2F99" w14:paraId="3E1F96C9" w14:textId="77777777" w:rsidTr="00B31581">
        <w:trPr>
          <w:trHeight w:val="312"/>
        </w:trPr>
        <w:tc>
          <w:tcPr>
            <w:tcW w:w="5310" w:type="dxa"/>
            <w:tcBorders>
              <w:top w:val="nil"/>
              <w:left w:val="nil"/>
              <w:bottom w:val="single" w:sz="4" w:space="0" w:color="auto"/>
              <w:right w:val="nil"/>
            </w:tcBorders>
            <w:noWrap/>
            <w:vAlign w:val="bottom"/>
          </w:tcPr>
          <w:p w14:paraId="1F534C4F" w14:textId="0CD1FB5C" w:rsidR="00E3034D" w:rsidRPr="003C2F99" w:rsidRDefault="00A94A0A" w:rsidP="00360E1B">
            <w:pPr>
              <w:ind w:left="0"/>
              <w:rPr>
                <w:rFonts w:ascii="Calibri" w:eastAsia="Times New Roman" w:hAnsi="Calibri" w:cs="Calibri"/>
                <w:color w:val="000000"/>
              </w:rPr>
            </w:pPr>
            <w:r w:rsidRPr="003C2F99">
              <w:rPr>
                <w:rFonts w:ascii="Calibri" w:eastAsia="Times New Roman" w:hAnsi="Calibri" w:cs="Calibri"/>
                <w:color w:val="000000"/>
              </w:rPr>
              <w:t xml:space="preserve">TDP </w:t>
            </w:r>
            <w:r w:rsidR="00146A0A" w:rsidRPr="003C2F99">
              <w:rPr>
                <w:rFonts w:ascii="Calibri" w:eastAsia="Times New Roman" w:hAnsi="Calibri" w:cs="Calibri"/>
                <w:color w:val="000000"/>
              </w:rPr>
              <w:t xml:space="preserve">MPO Policy Board </w:t>
            </w:r>
            <w:r w:rsidRPr="003C2F99">
              <w:rPr>
                <w:rFonts w:ascii="Calibri" w:eastAsia="Times New Roman" w:hAnsi="Calibri" w:cs="Calibri"/>
                <w:color w:val="000000"/>
              </w:rPr>
              <w:t>Adoptio</w:t>
            </w:r>
            <w:r w:rsidR="00E3034D" w:rsidRPr="003C2F99">
              <w:rPr>
                <w:rFonts w:ascii="Calibri" w:eastAsia="Times New Roman" w:hAnsi="Calibri" w:cs="Calibri"/>
                <w:color w:val="000000"/>
              </w:rPr>
              <w:t>n</w:t>
            </w:r>
          </w:p>
          <w:p w14:paraId="30A86866" w14:textId="2349FA17" w:rsidR="00360E1B" w:rsidRPr="003C2F99" w:rsidRDefault="00E3034D" w:rsidP="00360E1B">
            <w:pPr>
              <w:ind w:left="0"/>
              <w:rPr>
                <w:rFonts w:ascii="Calibri" w:eastAsia="Times New Roman" w:hAnsi="Calibri" w:cs="Calibri"/>
                <w:color w:val="000000"/>
                <w:sz w:val="20"/>
                <w:szCs w:val="20"/>
              </w:rPr>
            </w:pPr>
            <w:r w:rsidRPr="003C2F99">
              <w:rPr>
                <w:rFonts w:ascii="Calibri" w:eastAsia="Times New Roman" w:hAnsi="Calibri" w:cs="Calibri"/>
                <w:color w:val="000000"/>
                <w:sz w:val="20"/>
                <w:szCs w:val="20"/>
              </w:rPr>
              <w:t xml:space="preserve">Must be adopted by December 31, </w:t>
            </w:r>
            <w:proofErr w:type="gramStart"/>
            <w:r w:rsidRPr="003C2F99">
              <w:rPr>
                <w:rFonts w:ascii="Calibri" w:eastAsia="Times New Roman" w:hAnsi="Calibri" w:cs="Calibri"/>
                <w:color w:val="000000"/>
                <w:sz w:val="20"/>
                <w:szCs w:val="20"/>
              </w:rPr>
              <w:t>2027</w:t>
            </w:r>
            <w:proofErr w:type="gramEnd"/>
            <w:r w:rsidR="00A94A0A" w:rsidRPr="003C2F99">
              <w:rPr>
                <w:rFonts w:ascii="Calibri" w:eastAsia="Times New Roman" w:hAnsi="Calibri" w:cs="Calibri"/>
                <w:color w:val="000000"/>
                <w:sz w:val="20"/>
                <w:szCs w:val="20"/>
              </w:rPr>
              <w:t xml:space="preserve"> </w:t>
            </w:r>
          </w:p>
        </w:tc>
        <w:tc>
          <w:tcPr>
            <w:tcW w:w="2970" w:type="dxa"/>
            <w:tcBorders>
              <w:top w:val="nil"/>
              <w:left w:val="nil"/>
              <w:bottom w:val="single" w:sz="4" w:space="0" w:color="auto"/>
              <w:right w:val="nil"/>
            </w:tcBorders>
            <w:noWrap/>
            <w:vAlign w:val="bottom"/>
            <w:hideMark/>
          </w:tcPr>
          <w:p w14:paraId="581799FC" w14:textId="77777777" w:rsidR="00E3034D" w:rsidRPr="003C2F99" w:rsidRDefault="00E3034D" w:rsidP="00360E1B">
            <w:pPr>
              <w:ind w:left="0"/>
              <w:rPr>
                <w:rFonts w:ascii="Calibri" w:eastAsia="Times New Roman" w:hAnsi="Calibri" w:cs="Calibri"/>
                <w:color w:val="auto"/>
              </w:rPr>
            </w:pPr>
          </w:p>
          <w:p w14:paraId="7911970D" w14:textId="1193F8CF" w:rsidR="00360E1B" w:rsidRPr="003C2F99" w:rsidRDefault="00A94A0A" w:rsidP="00360E1B">
            <w:pPr>
              <w:ind w:left="0"/>
              <w:rPr>
                <w:rFonts w:ascii="Calibri" w:eastAsia="Times New Roman" w:hAnsi="Calibri" w:cs="Calibri"/>
                <w:color w:val="auto"/>
              </w:rPr>
            </w:pPr>
            <w:r w:rsidRPr="003C2F99">
              <w:rPr>
                <w:rFonts w:ascii="Calibri" w:eastAsia="Times New Roman" w:hAnsi="Calibri" w:cs="Calibri"/>
                <w:color w:val="auto"/>
              </w:rPr>
              <w:t>November 2027</w:t>
            </w:r>
          </w:p>
          <w:p w14:paraId="47B9CDF9" w14:textId="7CC6803A" w:rsidR="00E3034D" w:rsidRPr="003C2F99" w:rsidRDefault="00E3034D" w:rsidP="00360E1B">
            <w:pPr>
              <w:ind w:left="0"/>
              <w:rPr>
                <w:rFonts w:ascii="Calibri" w:eastAsia="Times New Roman" w:hAnsi="Calibri" w:cs="Calibri"/>
                <w:color w:val="auto"/>
              </w:rPr>
            </w:pPr>
          </w:p>
        </w:tc>
      </w:tr>
      <w:tr w:rsidR="00360E1B" w:rsidRPr="003C2F99" w14:paraId="453A7A39" w14:textId="77777777" w:rsidTr="00B31581">
        <w:trPr>
          <w:trHeight w:val="312"/>
        </w:trPr>
        <w:tc>
          <w:tcPr>
            <w:tcW w:w="5310" w:type="dxa"/>
            <w:tcBorders>
              <w:top w:val="nil"/>
              <w:left w:val="nil"/>
              <w:bottom w:val="single" w:sz="4" w:space="0" w:color="auto"/>
              <w:right w:val="nil"/>
            </w:tcBorders>
            <w:noWrap/>
            <w:vAlign w:val="bottom"/>
          </w:tcPr>
          <w:p w14:paraId="7022EEF4" w14:textId="77777777" w:rsidR="00360E1B" w:rsidRPr="003C2F99" w:rsidRDefault="00502E92" w:rsidP="00360E1B">
            <w:pPr>
              <w:ind w:left="0"/>
              <w:rPr>
                <w:rFonts w:ascii="Calibri" w:eastAsia="Times New Roman" w:hAnsi="Calibri" w:cs="Calibri"/>
                <w:color w:val="000000"/>
              </w:rPr>
            </w:pPr>
            <w:r w:rsidRPr="003C2F99">
              <w:rPr>
                <w:rFonts w:ascii="Calibri" w:eastAsia="Times New Roman" w:hAnsi="Calibri" w:cs="Calibri"/>
                <w:color w:val="000000"/>
              </w:rPr>
              <w:t>Presentation of Overall MTP Alternatives</w:t>
            </w:r>
          </w:p>
          <w:p w14:paraId="5CE861E1" w14:textId="7CA8450C" w:rsidR="0031103C" w:rsidRPr="003C2F99" w:rsidRDefault="0031103C" w:rsidP="00360E1B">
            <w:pPr>
              <w:ind w:left="0"/>
              <w:rPr>
                <w:rFonts w:ascii="Calibri" w:eastAsia="Times New Roman" w:hAnsi="Calibri" w:cs="Calibri"/>
                <w:color w:val="000000"/>
              </w:rPr>
            </w:pPr>
            <w:r w:rsidRPr="003C2F99">
              <w:rPr>
                <w:rFonts w:ascii="Calibri" w:eastAsia="Times New Roman" w:hAnsi="Calibri" w:cs="Calibri"/>
                <w:color w:val="000000"/>
              </w:rPr>
              <w:t>To Public</w:t>
            </w:r>
          </w:p>
        </w:tc>
        <w:tc>
          <w:tcPr>
            <w:tcW w:w="2970" w:type="dxa"/>
            <w:tcBorders>
              <w:top w:val="nil"/>
              <w:left w:val="nil"/>
              <w:bottom w:val="single" w:sz="4" w:space="0" w:color="auto"/>
              <w:right w:val="nil"/>
            </w:tcBorders>
            <w:noWrap/>
            <w:vAlign w:val="bottom"/>
            <w:hideMark/>
          </w:tcPr>
          <w:p w14:paraId="59FFCBCE" w14:textId="60F33B0A" w:rsidR="00360E1B" w:rsidRPr="003C2F99" w:rsidRDefault="00502E92" w:rsidP="00360E1B">
            <w:pPr>
              <w:ind w:left="0"/>
              <w:rPr>
                <w:rFonts w:ascii="Calibri" w:eastAsia="Times New Roman" w:hAnsi="Calibri" w:cs="Calibri"/>
                <w:color w:val="auto"/>
              </w:rPr>
            </w:pPr>
            <w:r w:rsidRPr="003C2F99">
              <w:rPr>
                <w:rFonts w:ascii="Calibri" w:eastAsia="Times New Roman" w:hAnsi="Calibri" w:cs="Calibri"/>
                <w:color w:val="auto"/>
              </w:rPr>
              <w:t>May</w:t>
            </w:r>
            <w:r w:rsidR="00392E44" w:rsidRPr="003C2F99">
              <w:rPr>
                <w:rFonts w:ascii="Calibri" w:eastAsia="Times New Roman" w:hAnsi="Calibri" w:cs="Calibri"/>
                <w:color w:val="auto"/>
              </w:rPr>
              <w:t xml:space="preserve"> 2028</w:t>
            </w:r>
          </w:p>
        </w:tc>
      </w:tr>
      <w:tr w:rsidR="00360E1B" w:rsidRPr="003C2F99" w14:paraId="0D8A60F4" w14:textId="77777777" w:rsidTr="00BD366A">
        <w:trPr>
          <w:trHeight w:val="312"/>
        </w:trPr>
        <w:tc>
          <w:tcPr>
            <w:tcW w:w="5310" w:type="dxa"/>
            <w:tcBorders>
              <w:top w:val="nil"/>
              <w:left w:val="nil"/>
              <w:bottom w:val="single" w:sz="4" w:space="0" w:color="auto"/>
              <w:right w:val="nil"/>
            </w:tcBorders>
            <w:noWrap/>
            <w:vAlign w:val="bottom"/>
          </w:tcPr>
          <w:p w14:paraId="6F6FB51F" w14:textId="302171F3" w:rsidR="00360E1B" w:rsidRPr="003C2F99" w:rsidRDefault="00392E44" w:rsidP="00360E1B">
            <w:pPr>
              <w:ind w:left="0"/>
              <w:rPr>
                <w:rFonts w:ascii="Calibri" w:eastAsia="Times New Roman" w:hAnsi="Calibri" w:cs="Calibri"/>
                <w:color w:val="000000"/>
              </w:rPr>
            </w:pPr>
            <w:r w:rsidRPr="003C2F99">
              <w:rPr>
                <w:rFonts w:ascii="Calibri" w:eastAsia="Times New Roman" w:hAnsi="Calibri" w:cs="Calibri"/>
                <w:color w:val="000000"/>
              </w:rPr>
              <w:t>Draft MTP to MPO Staff</w:t>
            </w:r>
          </w:p>
        </w:tc>
        <w:tc>
          <w:tcPr>
            <w:tcW w:w="2970" w:type="dxa"/>
            <w:tcBorders>
              <w:top w:val="nil"/>
              <w:left w:val="nil"/>
              <w:bottom w:val="single" w:sz="4" w:space="0" w:color="auto"/>
              <w:right w:val="nil"/>
            </w:tcBorders>
            <w:noWrap/>
            <w:vAlign w:val="bottom"/>
            <w:hideMark/>
          </w:tcPr>
          <w:p w14:paraId="2B844CFD" w14:textId="57ACAA20" w:rsidR="00360E1B" w:rsidRPr="003C2F99" w:rsidRDefault="00392E44" w:rsidP="00360E1B">
            <w:pPr>
              <w:ind w:left="0"/>
              <w:rPr>
                <w:rFonts w:ascii="Calibri" w:eastAsia="Times New Roman" w:hAnsi="Calibri" w:cs="Calibri"/>
                <w:color w:val="auto"/>
              </w:rPr>
            </w:pPr>
            <w:r w:rsidRPr="003C2F99">
              <w:rPr>
                <w:rFonts w:ascii="Calibri" w:eastAsia="Times New Roman" w:hAnsi="Calibri" w:cs="Calibri"/>
                <w:color w:val="auto"/>
              </w:rPr>
              <w:t>June 2028</w:t>
            </w:r>
          </w:p>
        </w:tc>
      </w:tr>
      <w:tr w:rsidR="00360E1B" w:rsidRPr="003C2F99" w14:paraId="54B41D98" w14:textId="77777777" w:rsidTr="00BD366A">
        <w:trPr>
          <w:trHeight w:val="312"/>
        </w:trPr>
        <w:tc>
          <w:tcPr>
            <w:tcW w:w="5310" w:type="dxa"/>
            <w:tcBorders>
              <w:top w:val="single" w:sz="4" w:space="0" w:color="auto"/>
              <w:left w:val="nil"/>
              <w:bottom w:val="single" w:sz="4" w:space="0" w:color="auto"/>
              <w:right w:val="nil"/>
            </w:tcBorders>
            <w:noWrap/>
            <w:vAlign w:val="bottom"/>
            <w:hideMark/>
          </w:tcPr>
          <w:p w14:paraId="10B6185B" w14:textId="55F3CD82" w:rsidR="00360E1B" w:rsidRPr="003C2F99" w:rsidRDefault="00230E86" w:rsidP="00360E1B">
            <w:pPr>
              <w:ind w:left="0"/>
              <w:rPr>
                <w:rFonts w:ascii="Calibri" w:eastAsia="Times New Roman" w:hAnsi="Calibri" w:cs="Calibri"/>
                <w:color w:val="000000"/>
              </w:rPr>
            </w:pPr>
            <w:r w:rsidRPr="003C2F99">
              <w:rPr>
                <w:rFonts w:ascii="Calibri" w:eastAsia="Times New Roman" w:hAnsi="Calibri" w:cs="Calibri"/>
                <w:color w:val="000000"/>
              </w:rPr>
              <w:t>Presentation of Draft MTP to NDDOT Management</w:t>
            </w:r>
          </w:p>
        </w:tc>
        <w:tc>
          <w:tcPr>
            <w:tcW w:w="2970" w:type="dxa"/>
            <w:tcBorders>
              <w:top w:val="single" w:sz="4" w:space="0" w:color="auto"/>
              <w:left w:val="nil"/>
              <w:bottom w:val="single" w:sz="4" w:space="0" w:color="auto"/>
              <w:right w:val="nil"/>
            </w:tcBorders>
            <w:noWrap/>
            <w:vAlign w:val="bottom"/>
            <w:hideMark/>
          </w:tcPr>
          <w:p w14:paraId="34D118E0" w14:textId="41F80309" w:rsidR="00360E1B" w:rsidRPr="003C2F99" w:rsidRDefault="00BD366A" w:rsidP="00360E1B">
            <w:pPr>
              <w:ind w:left="0"/>
              <w:rPr>
                <w:rFonts w:ascii="Calibri" w:eastAsia="Times New Roman" w:hAnsi="Calibri" w:cs="Calibri"/>
                <w:color w:val="auto"/>
              </w:rPr>
            </w:pPr>
            <w:r w:rsidRPr="003C2F99">
              <w:rPr>
                <w:rFonts w:ascii="Calibri" w:eastAsia="Times New Roman" w:hAnsi="Calibri" w:cs="Calibri"/>
                <w:color w:val="auto"/>
              </w:rPr>
              <w:t>July 2028</w:t>
            </w:r>
          </w:p>
        </w:tc>
      </w:tr>
      <w:tr w:rsidR="00BD366A" w:rsidRPr="003C2F99" w14:paraId="58915A47" w14:textId="77777777" w:rsidTr="00BD366A">
        <w:trPr>
          <w:trHeight w:val="312"/>
        </w:trPr>
        <w:tc>
          <w:tcPr>
            <w:tcW w:w="5310" w:type="dxa"/>
            <w:tcBorders>
              <w:top w:val="single" w:sz="4" w:space="0" w:color="auto"/>
              <w:left w:val="nil"/>
              <w:bottom w:val="single" w:sz="4" w:space="0" w:color="auto"/>
              <w:right w:val="nil"/>
            </w:tcBorders>
            <w:noWrap/>
            <w:vAlign w:val="bottom"/>
          </w:tcPr>
          <w:p w14:paraId="504E1CB0" w14:textId="126A231E" w:rsidR="00BD366A" w:rsidRPr="003C2F99" w:rsidRDefault="00BD366A" w:rsidP="00360E1B">
            <w:pPr>
              <w:ind w:left="0"/>
              <w:rPr>
                <w:rFonts w:ascii="Calibri" w:eastAsia="Times New Roman" w:hAnsi="Calibri" w:cs="Calibri"/>
                <w:color w:val="000000"/>
              </w:rPr>
            </w:pPr>
            <w:r w:rsidRPr="003C2F99">
              <w:rPr>
                <w:rFonts w:ascii="Calibri" w:eastAsia="Times New Roman" w:hAnsi="Calibri" w:cs="Calibri"/>
                <w:color w:val="000000"/>
              </w:rPr>
              <w:t>Presentation</w:t>
            </w:r>
            <w:r w:rsidR="00E33166" w:rsidRPr="003C2F99">
              <w:rPr>
                <w:rFonts w:ascii="Calibri" w:eastAsia="Times New Roman" w:hAnsi="Calibri" w:cs="Calibri"/>
                <w:color w:val="000000"/>
              </w:rPr>
              <w:t xml:space="preserve"> of MTP</w:t>
            </w:r>
            <w:r w:rsidRPr="003C2F99">
              <w:rPr>
                <w:rFonts w:ascii="Calibri" w:eastAsia="Times New Roman" w:hAnsi="Calibri" w:cs="Calibri"/>
                <w:color w:val="000000"/>
              </w:rPr>
              <w:t xml:space="preserve"> to </w:t>
            </w:r>
            <w:r w:rsidR="005A34EE" w:rsidRPr="003C2F99">
              <w:rPr>
                <w:rFonts w:ascii="Calibri" w:eastAsia="Times New Roman" w:hAnsi="Calibri" w:cs="Calibri"/>
                <w:color w:val="000000"/>
              </w:rPr>
              <w:t xml:space="preserve">MPO Jurisdiction </w:t>
            </w:r>
          </w:p>
          <w:p w14:paraId="01C76319" w14:textId="18C90527" w:rsidR="005A34EE" w:rsidRPr="003C2F99" w:rsidRDefault="005A34EE" w:rsidP="00360E1B">
            <w:pPr>
              <w:ind w:left="0"/>
              <w:rPr>
                <w:rFonts w:ascii="Calibri" w:eastAsia="Times New Roman" w:hAnsi="Calibri" w:cs="Calibri"/>
                <w:color w:val="000000"/>
              </w:rPr>
            </w:pPr>
            <w:r w:rsidRPr="003C2F99">
              <w:rPr>
                <w:rFonts w:ascii="Calibri" w:eastAsia="Times New Roman" w:hAnsi="Calibri" w:cs="Calibri"/>
                <w:color w:val="000000"/>
              </w:rPr>
              <w:t>Planning and Zoning Commissions</w:t>
            </w:r>
          </w:p>
        </w:tc>
        <w:tc>
          <w:tcPr>
            <w:tcW w:w="2970" w:type="dxa"/>
            <w:tcBorders>
              <w:top w:val="single" w:sz="4" w:space="0" w:color="auto"/>
              <w:left w:val="nil"/>
              <w:bottom w:val="single" w:sz="4" w:space="0" w:color="auto"/>
              <w:right w:val="nil"/>
            </w:tcBorders>
            <w:noWrap/>
            <w:vAlign w:val="bottom"/>
          </w:tcPr>
          <w:p w14:paraId="59316F8D" w14:textId="4F0BD531" w:rsidR="00BD366A" w:rsidRPr="003C2F99" w:rsidRDefault="005A34EE" w:rsidP="00360E1B">
            <w:pPr>
              <w:ind w:left="0"/>
              <w:rPr>
                <w:rFonts w:ascii="Calibri" w:eastAsia="Times New Roman" w:hAnsi="Calibri" w:cs="Calibri"/>
                <w:color w:val="auto"/>
              </w:rPr>
            </w:pPr>
            <w:r w:rsidRPr="003C2F99">
              <w:rPr>
                <w:rFonts w:ascii="Calibri" w:eastAsia="Times New Roman" w:hAnsi="Calibri" w:cs="Calibri"/>
                <w:color w:val="auto"/>
              </w:rPr>
              <w:t>July-</w:t>
            </w:r>
            <w:r w:rsidR="00CB0C70" w:rsidRPr="003C2F99">
              <w:rPr>
                <w:rFonts w:ascii="Calibri" w:eastAsia="Times New Roman" w:hAnsi="Calibri" w:cs="Calibri"/>
                <w:color w:val="auto"/>
              </w:rPr>
              <w:t>August 2028</w:t>
            </w:r>
          </w:p>
        </w:tc>
      </w:tr>
      <w:tr w:rsidR="00CB0C70" w:rsidRPr="003C2F99" w14:paraId="004BC944" w14:textId="77777777" w:rsidTr="00BD366A">
        <w:trPr>
          <w:trHeight w:val="312"/>
        </w:trPr>
        <w:tc>
          <w:tcPr>
            <w:tcW w:w="5310" w:type="dxa"/>
            <w:tcBorders>
              <w:top w:val="single" w:sz="4" w:space="0" w:color="auto"/>
              <w:left w:val="nil"/>
              <w:bottom w:val="single" w:sz="4" w:space="0" w:color="auto"/>
              <w:right w:val="nil"/>
            </w:tcBorders>
            <w:noWrap/>
            <w:vAlign w:val="bottom"/>
          </w:tcPr>
          <w:p w14:paraId="6DA312D4" w14:textId="77777777" w:rsidR="00CB0C70" w:rsidRPr="003C2F99" w:rsidRDefault="00CB0C70" w:rsidP="00360E1B">
            <w:pPr>
              <w:ind w:left="0"/>
              <w:rPr>
                <w:rFonts w:ascii="Calibri" w:eastAsia="Times New Roman" w:hAnsi="Calibri" w:cs="Calibri"/>
                <w:color w:val="000000"/>
              </w:rPr>
            </w:pPr>
            <w:r w:rsidRPr="003C2F99">
              <w:rPr>
                <w:rFonts w:ascii="Calibri" w:eastAsia="Times New Roman" w:hAnsi="Calibri" w:cs="Calibri"/>
                <w:color w:val="000000"/>
              </w:rPr>
              <w:t xml:space="preserve">Presentation to </w:t>
            </w:r>
            <w:r w:rsidR="007F326E" w:rsidRPr="003C2F99">
              <w:rPr>
                <w:rFonts w:ascii="Calibri" w:eastAsia="Times New Roman" w:hAnsi="Calibri" w:cs="Calibri"/>
                <w:color w:val="000000"/>
              </w:rPr>
              <w:t>MPO Jurisdiction</w:t>
            </w:r>
          </w:p>
          <w:p w14:paraId="58866FE2" w14:textId="3C689AED" w:rsidR="007F326E" w:rsidRPr="003C2F99" w:rsidRDefault="007F326E" w:rsidP="00360E1B">
            <w:pPr>
              <w:ind w:left="0"/>
              <w:rPr>
                <w:rFonts w:ascii="Calibri" w:eastAsia="Times New Roman" w:hAnsi="Calibri" w:cs="Calibri"/>
                <w:color w:val="000000"/>
              </w:rPr>
            </w:pPr>
            <w:r w:rsidRPr="003C2F99">
              <w:rPr>
                <w:rFonts w:ascii="Calibri" w:eastAsia="Times New Roman" w:hAnsi="Calibri" w:cs="Calibri"/>
                <w:color w:val="000000"/>
              </w:rPr>
              <w:t>City/County Councils for Adoption</w:t>
            </w:r>
          </w:p>
        </w:tc>
        <w:tc>
          <w:tcPr>
            <w:tcW w:w="2970" w:type="dxa"/>
            <w:tcBorders>
              <w:top w:val="single" w:sz="4" w:space="0" w:color="auto"/>
              <w:left w:val="nil"/>
              <w:bottom w:val="single" w:sz="4" w:space="0" w:color="auto"/>
              <w:right w:val="nil"/>
            </w:tcBorders>
            <w:noWrap/>
            <w:vAlign w:val="bottom"/>
          </w:tcPr>
          <w:p w14:paraId="387F2218" w14:textId="5362C391" w:rsidR="00CB0C70" w:rsidRPr="003C2F99" w:rsidRDefault="007F326E" w:rsidP="00360E1B">
            <w:pPr>
              <w:ind w:left="0"/>
              <w:rPr>
                <w:rFonts w:ascii="Calibri" w:eastAsia="Times New Roman" w:hAnsi="Calibri" w:cs="Calibri"/>
                <w:color w:val="auto"/>
              </w:rPr>
            </w:pPr>
            <w:r w:rsidRPr="003C2F99">
              <w:rPr>
                <w:rFonts w:ascii="Calibri" w:eastAsia="Times New Roman" w:hAnsi="Calibri" w:cs="Calibri"/>
                <w:color w:val="auto"/>
              </w:rPr>
              <w:t>August-</w:t>
            </w:r>
            <w:r w:rsidR="006F0396" w:rsidRPr="003C2F99">
              <w:rPr>
                <w:rFonts w:ascii="Calibri" w:eastAsia="Times New Roman" w:hAnsi="Calibri" w:cs="Calibri"/>
                <w:color w:val="auto"/>
              </w:rPr>
              <w:t>September 2028</w:t>
            </w:r>
          </w:p>
        </w:tc>
      </w:tr>
      <w:tr w:rsidR="006F0396" w:rsidRPr="00434B54" w14:paraId="5E3FF9F7" w14:textId="77777777" w:rsidTr="00BD366A">
        <w:trPr>
          <w:trHeight w:val="312"/>
        </w:trPr>
        <w:tc>
          <w:tcPr>
            <w:tcW w:w="5310" w:type="dxa"/>
            <w:tcBorders>
              <w:top w:val="single" w:sz="4" w:space="0" w:color="auto"/>
              <w:left w:val="nil"/>
              <w:bottom w:val="single" w:sz="4" w:space="0" w:color="auto"/>
              <w:right w:val="nil"/>
            </w:tcBorders>
            <w:noWrap/>
            <w:vAlign w:val="bottom"/>
          </w:tcPr>
          <w:p w14:paraId="7265B145" w14:textId="07ECA00F" w:rsidR="006F0396" w:rsidRPr="003C2F99" w:rsidRDefault="00230A31" w:rsidP="00360E1B">
            <w:pPr>
              <w:ind w:left="0"/>
              <w:rPr>
                <w:rFonts w:ascii="Calibri" w:eastAsia="Times New Roman" w:hAnsi="Calibri" w:cs="Calibri"/>
                <w:color w:val="000000"/>
              </w:rPr>
            </w:pPr>
            <w:r w:rsidRPr="003C2F99">
              <w:rPr>
                <w:rFonts w:ascii="Calibri" w:eastAsia="Times New Roman" w:hAnsi="Calibri" w:cs="Calibri"/>
                <w:color w:val="000000"/>
              </w:rPr>
              <w:t xml:space="preserve">MTP MPO Policy Board Adoption </w:t>
            </w:r>
          </w:p>
        </w:tc>
        <w:tc>
          <w:tcPr>
            <w:tcW w:w="2970" w:type="dxa"/>
            <w:tcBorders>
              <w:top w:val="single" w:sz="4" w:space="0" w:color="auto"/>
              <w:left w:val="nil"/>
              <w:bottom w:val="single" w:sz="4" w:space="0" w:color="auto"/>
              <w:right w:val="nil"/>
            </w:tcBorders>
            <w:noWrap/>
            <w:vAlign w:val="bottom"/>
          </w:tcPr>
          <w:p w14:paraId="424EA5EB" w14:textId="0BD3EF1D" w:rsidR="006F0396" w:rsidRPr="003C2F99" w:rsidRDefault="00230A31" w:rsidP="00360E1B">
            <w:pPr>
              <w:ind w:left="0"/>
              <w:rPr>
                <w:rFonts w:ascii="Calibri" w:eastAsia="Times New Roman" w:hAnsi="Calibri" w:cs="Calibri"/>
                <w:color w:val="auto"/>
              </w:rPr>
            </w:pPr>
            <w:r w:rsidRPr="003C2F99">
              <w:rPr>
                <w:rFonts w:ascii="Calibri" w:eastAsia="Times New Roman" w:hAnsi="Calibri" w:cs="Calibri"/>
                <w:color w:val="auto"/>
              </w:rPr>
              <w:t>October 2028</w:t>
            </w:r>
          </w:p>
        </w:tc>
      </w:tr>
    </w:tbl>
    <w:p w14:paraId="2F7939BF" w14:textId="1CB7966B" w:rsidR="00E77505" w:rsidRDefault="00E77505" w:rsidP="00DD6983"/>
    <w:p w14:paraId="4729E9D6" w14:textId="241205EB" w:rsidR="003E633F" w:rsidRPr="00817094" w:rsidRDefault="003E633F" w:rsidP="00DD6983">
      <w:r>
        <w:t xml:space="preserve">A project schedule must be incorporated into the contract with </w:t>
      </w:r>
      <w:r w:rsidR="00B163C2">
        <w:t xml:space="preserve">various milestone dates identified. Milestone dates may shift over the course of the plan development </w:t>
      </w:r>
      <w:r w:rsidR="00F22D09">
        <w:t>however,</w:t>
      </w:r>
      <w:r w:rsidR="00B163C2">
        <w:t xml:space="preserve"> </w:t>
      </w:r>
      <w:r w:rsidR="006741D5">
        <w:t xml:space="preserve">the adoption of the TDP no later than December 31, </w:t>
      </w:r>
      <w:proofErr w:type="gramStart"/>
      <w:r w:rsidR="006741D5">
        <w:t>2027</w:t>
      </w:r>
      <w:proofErr w:type="gramEnd"/>
      <w:r w:rsidR="006741D5">
        <w:t xml:space="preserve"> and the adoption of the overall MTP no later than December 3</w:t>
      </w:r>
      <w:r w:rsidR="003D6C9A">
        <w:t>1, 2028</w:t>
      </w:r>
      <w:r w:rsidR="00F22D09">
        <w:t>, must be met,</w:t>
      </w:r>
      <w:r w:rsidR="003D6C9A">
        <w:t xml:space="preserve"> </w:t>
      </w:r>
      <w:r w:rsidR="00E55501">
        <w:t>given required</w:t>
      </w:r>
      <w:r w:rsidR="003D6C9A">
        <w:t xml:space="preserve"> five (5) </w:t>
      </w:r>
      <w:r w:rsidR="00E55501">
        <w:t xml:space="preserve">year intervals for update of the respective plans. </w:t>
      </w:r>
    </w:p>
    <w:p w14:paraId="09F6F0D7" w14:textId="70F26909" w:rsidR="0066020E" w:rsidRPr="00817094" w:rsidRDefault="00E77505" w:rsidP="003005BC">
      <w:pPr>
        <w:pStyle w:val="Heading1"/>
      </w:pPr>
      <w:bookmarkStart w:id="11" w:name="_Toc172279722"/>
      <w:bookmarkStart w:id="12" w:name="_Toc193968942"/>
      <w:r w:rsidRPr="00817094">
        <w:t xml:space="preserve">RFP </w:t>
      </w:r>
      <w:r w:rsidR="0025352D" w:rsidRPr="00817094">
        <w:t>Evaluation Criteria &amp; Process</w:t>
      </w:r>
      <w:bookmarkEnd w:id="11"/>
      <w:bookmarkEnd w:id="12"/>
    </w:p>
    <w:p w14:paraId="0B3B77B0" w14:textId="5953FAED" w:rsidR="004D7B05" w:rsidRPr="00817094" w:rsidRDefault="006A22A5" w:rsidP="004D7B05">
      <w:pPr>
        <w:pStyle w:val="BodyText"/>
        <w:spacing w:after="120"/>
        <w:ind w:left="720"/>
      </w:pPr>
      <w:r w:rsidRPr="00817094">
        <w:t xml:space="preserve">The Committee will determine which firm would best provide the services requested by the RFP. </w:t>
      </w:r>
      <w:r w:rsidR="00061689" w:rsidRPr="00817094">
        <w:t xml:space="preserve">When choosing a consulting firm, the MPO will have a two (2) step process. The proposal evaluation will evaluate the proposal that the firm sends the MPO. The evaluation </w:t>
      </w:r>
      <w:r w:rsidR="00F42971">
        <w:t xml:space="preserve">may result in a </w:t>
      </w:r>
      <w:r w:rsidR="00061689" w:rsidRPr="00817094">
        <w:t>reduc</w:t>
      </w:r>
      <w:r w:rsidR="00F42971">
        <w:t>tion in</w:t>
      </w:r>
      <w:r w:rsidR="00061689" w:rsidRPr="00817094">
        <w:t xml:space="preserve"> the number of firms to three (3) for the purposes of interviewing. The interview evaluation will be based on the interview </w:t>
      </w:r>
      <w:r w:rsidR="009B5800" w:rsidRPr="00817094">
        <w:t>with</w:t>
      </w:r>
      <w:r w:rsidR="00061689" w:rsidRPr="00817094">
        <w:t xml:space="preserve"> the firm. </w:t>
      </w:r>
      <w:r w:rsidR="0066020E" w:rsidRPr="00817094">
        <w:t xml:space="preserve">The MPO in close coordination with members of the Selection Committee will evaluate the </w:t>
      </w:r>
      <w:r w:rsidR="00061689" w:rsidRPr="00817094">
        <w:t>proposals</w:t>
      </w:r>
      <w:r w:rsidR="0066020E" w:rsidRPr="00817094">
        <w:t xml:space="preserve"> based on, but not limited to, the following criteria and their weights:</w:t>
      </w:r>
    </w:p>
    <w:p w14:paraId="0E59456D" w14:textId="3292A3BE" w:rsidR="0066020E" w:rsidRPr="00817094" w:rsidRDefault="00061689" w:rsidP="00CD1B36">
      <w:pPr>
        <w:pStyle w:val="Heading2"/>
      </w:pPr>
      <w:r w:rsidRPr="00817094">
        <w:lastRenderedPageBreak/>
        <w:t>Proposal Evaluation</w:t>
      </w:r>
      <w:r w:rsidR="000A117E" w:rsidRPr="00817094">
        <w:t xml:space="preserve"> Criteria and Weight</w:t>
      </w:r>
    </w:p>
    <w:p w14:paraId="69AD8C78" w14:textId="09FCAC7B" w:rsidR="000A117E" w:rsidRPr="0093028F" w:rsidRDefault="000A117E" w:rsidP="004D7B05">
      <w:pPr>
        <w:pStyle w:val="Heading3"/>
        <w:spacing w:after="120"/>
        <w:ind w:left="1440"/>
        <w:rPr>
          <w:color w:val="auto"/>
        </w:rPr>
      </w:pPr>
      <w:r w:rsidRPr="0093028F">
        <w:rPr>
          <w:color w:val="auto"/>
        </w:rPr>
        <w:t>Demonstrates understanding of the scope of work and local factors. Shows how firm proposes to approach, resolve challenges, and encourage new ideas that improve the end project. (Weight 25%)</w:t>
      </w:r>
    </w:p>
    <w:p w14:paraId="41602699" w14:textId="122D237C" w:rsidR="00E77505" w:rsidRPr="0093028F" w:rsidRDefault="000A117E" w:rsidP="004D7B05">
      <w:pPr>
        <w:pStyle w:val="Heading3"/>
        <w:spacing w:after="120"/>
        <w:ind w:left="1440"/>
        <w:rPr>
          <w:color w:val="auto"/>
        </w:rPr>
      </w:pPr>
      <w:r w:rsidRPr="0093028F">
        <w:rPr>
          <w:color w:val="auto"/>
        </w:rPr>
        <w:t xml:space="preserve">Demonstrates the </w:t>
      </w:r>
      <w:r w:rsidR="75247E64" w:rsidRPr="0093028F">
        <w:rPr>
          <w:color w:val="auto"/>
        </w:rPr>
        <w:t>firm’s designated team members’</w:t>
      </w:r>
      <w:r w:rsidRPr="0093028F">
        <w:rPr>
          <w:color w:val="auto"/>
        </w:rPr>
        <w:t xml:space="preserve"> knowledge and experience to successfully address the scope of work.</w:t>
      </w:r>
      <w:r w:rsidR="0062487A" w:rsidRPr="0093028F">
        <w:rPr>
          <w:color w:val="auto"/>
        </w:rPr>
        <w:t xml:space="preserve"> (Weight 25%)</w:t>
      </w:r>
    </w:p>
    <w:p w14:paraId="25D8DDEB" w14:textId="10FA4F70" w:rsidR="00E77505" w:rsidRPr="0093028F" w:rsidRDefault="0062487A" w:rsidP="004D7B05">
      <w:pPr>
        <w:pStyle w:val="Heading3"/>
        <w:spacing w:after="120"/>
        <w:ind w:left="1440"/>
        <w:rPr>
          <w:color w:val="auto"/>
        </w:rPr>
      </w:pPr>
      <w:r w:rsidRPr="0093028F">
        <w:rPr>
          <w:color w:val="auto"/>
        </w:rPr>
        <w:t xml:space="preserve">Demonstrates the </w:t>
      </w:r>
      <w:r w:rsidR="1E737CD8" w:rsidRPr="0093028F">
        <w:rPr>
          <w:color w:val="auto"/>
        </w:rPr>
        <w:t>firm’s designated team members’</w:t>
      </w:r>
      <w:r w:rsidRPr="0093028F">
        <w:rPr>
          <w:color w:val="auto"/>
        </w:rPr>
        <w:t xml:space="preserve"> history of timely performance, quality, and integrity, as evidenced by a list of client references. Demonstrates the firm's approach to managing resources and project output. (Weight 15%)</w:t>
      </w:r>
    </w:p>
    <w:p w14:paraId="5A1829C3" w14:textId="0AB84F54" w:rsidR="00E77505" w:rsidRPr="0093028F" w:rsidRDefault="0062487A" w:rsidP="004D7B05">
      <w:pPr>
        <w:pStyle w:val="Heading3"/>
        <w:spacing w:after="120"/>
        <w:ind w:left="1440"/>
        <w:rPr>
          <w:color w:val="auto"/>
        </w:rPr>
      </w:pPr>
      <w:r w:rsidRPr="0093028F">
        <w:rPr>
          <w:color w:val="auto"/>
        </w:rPr>
        <w:t>Demonstrate experience, expertise, qualifications, and credentials of project manager, key personnel, and subconsultant team members. Project team should indicate other significant projects being worked on, the percent of involvement, and probable completion date of the individual's work on the project. (Weight 25%)</w:t>
      </w:r>
    </w:p>
    <w:p w14:paraId="5BC7F0A0" w14:textId="35FA2BB9" w:rsidR="0062487A" w:rsidRPr="0093028F" w:rsidRDefault="0062487A" w:rsidP="00297356">
      <w:pPr>
        <w:pStyle w:val="Heading3"/>
        <w:ind w:left="1440"/>
        <w:rPr>
          <w:color w:val="auto"/>
        </w:rPr>
      </w:pPr>
      <w:r w:rsidRPr="0093028F">
        <w:rPr>
          <w:color w:val="auto"/>
        </w:rPr>
        <w:t>Provide a time schedule for completion of each task and the entire project, with appropriate time for review. Demonstrate the project team has the resources necessary to complete the project. (Weight 10%)</w:t>
      </w:r>
    </w:p>
    <w:p w14:paraId="49CA6DEC" w14:textId="75E7C6FB" w:rsidR="0066020E" w:rsidRDefault="0066020E" w:rsidP="00DD6983"/>
    <w:p w14:paraId="70E6BB3B" w14:textId="33281C4B" w:rsidR="00BC311D" w:rsidRDefault="00BC311D" w:rsidP="00BC311D">
      <w:pPr>
        <w:ind w:left="1080"/>
      </w:pPr>
      <w:r>
        <w:t xml:space="preserve">The proposal should include </w:t>
      </w:r>
      <w:r w:rsidR="00B52BE6">
        <w:t xml:space="preserve">elements for individuals to </w:t>
      </w:r>
      <w:r w:rsidR="00B155CB">
        <w:t>effectively</w:t>
      </w:r>
      <w:r w:rsidR="00B52BE6">
        <w:t xml:space="preserve"> evaluate the preceding identified</w:t>
      </w:r>
      <w:r w:rsidR="00B155CB">
        <w:t xml:space="preserve"> criteria. </w:t>
      </w:r>
    </w:p>
    <w:p w14:paraId="1B19DB78" w14:textId="77777777" w:rsidR="00B155CB" w:rsidRPr="00817094" w:rsidRDefault="00B155CB" w:rsidP="00BC311D">
      <w:pPr>
        <w:ind w:left="1080"/>
      </w:pPr>
    </w:p>
    <w:p w14:paraId="57C979A0" w14:textId="139DD9FC" w:rsidR="0066020E" w:rsidRPr="00F43A99" w:rsidRDefault="0062487A" w:rsidP="007303F0">
      <w:pPr>
        <w:pStyle w:val="Heading2"/>
      </w:pPr>
      <w:r w:rsidRPr="00F43A99">
        <w:t>Interview Evaluation Criteria and Weight</w:t>
      </w:r>
    </w:p>
    <w:p w14:paraId="084C4B92" w14:textId="00F3C842" w:rsidR="00890B84" w:rsidRPr="00653F9D" w:rsidRDefault="0062487A" w:rsidP="00297356">
      <w:pPr>
        <w:pStyle w:val="Heading3"/>
        <w:ind w:left="1440"/>
        <w:rPr>
          <w:color w:val="auto"/>
        </w:rPr>
      </w:pPr>
      <w:r w:rsidRPr="00653F9D">
        <w:rPr>
          <w:color w:val="auto"/>
        </w:rPr>
        <w:t>Observations on existing conditions and key project information. (Weight 20%)</w:t>
      </w:r>
    </w:p>
    <w:p w14:paraId="26A1F4CF" w14:textId="07B8D21E" w:rsidR="00890B84" w:rsidRPr="00653F9D" w:rsidRDefault="0062487A" w:rsidP="00297356">
      <w:pPr>
        <w:pStyle w:val="Heading3"/>
        <w:ind w:left="1440"/>
        <w:rPr>
          <w:color w:val="auto"/>
        </w:rPr>
      </w:pPr>
      <w:r w:rsidRPr="00653F9D">
        <w:rPr>
          <w:color w:val="auto"/>
        </w:rPr>
        <w:t>Identification of key issues or problems that will need to be considered and any initial thoughts on how to resolve issues or problems. (Weight 25%)</w:t>
      </w:r>
    </w:p>
    <w:p w14:paraId="586172DB" w14:textId="3710ED76" w:rsidR="0062487A" w:rsidRPr="00653F9D" w:rsidRDefault="0062487A" w:rsidP="00297356">
      <w:pPr>
        <w:pStyle w:val="Heading3"/>
        <w:ind w:left="1440"/>
        <w:rPr>
          <w:color w:val="auto"/>
        </w:rPr>
      </w:pPr>
      <w:r w:rsidRPr="00653F9D">
        <w:rPr>
          <w:color w:val="auto"/>
        </w:rPr>
        <w:t>Innovative approaches and concepts. (Weight 25%)</w:t>
      </w:r>
    </w:p>
    <w:p w14:paraId="1F7288E8" w14:textId="412D3C92" w:rsidR="0062487A" w:rsidRPr="00653F9D" w:rsidRDefault="0062487A" w:rsidP="00297356">
      <w:pPr>
        <w:pStyle w:val="Heading3"/>
        <w:ind w:left="1440"/>
        <w:rPr>
          <w:color w:val="auto"/>
        </w:rPr>
      </w:pPr>
      <w:r w:rsidRPr="00653F9D">
        <w:rPr>
          <w:color w:val="auto"/>
        </w:rPr>
        <w:t xml:space="preserve">Experience and capabilities in </w:t>
      </w:r>
      <w:r w:rsidR="00C4283C" w:rsidRPr="00653F9D">
        <w:rPr>
          <w:color w:val="auto"/>
        </w:rPr>
        <w:t>the development</w:t>
      </w:r>
      <w:r w:rsidRPr="00653F9D">
        <w:rPr>
          <w:color w:val="auto"/>
        </w:rPr>
        <w:t xml:space="preserve"> of similar studies of both key personnel and the project team. (Weight 20%)</w:t>
      </w:r>
    </w:p>
    <w:p w14:paraId="25233BE5" w14:textId="3BF1F8BC" w:rsidR="0062487A" w:rsidRPr="00653F9D" w:rsidRDefault="0062487A" w:rsidP="00297356">
      <w:pPr>
        <w:pStyle w:val="Heading3"/>
        <w:ind w:left="1440"/>
        <w:rPr>
          <w:color w:val="auto"/>
        </w:rPr>
      </w:pPr>
      <w:r w:rsidRPr="00653F9D">
        <w:rPr>
          <w:color w:val="auto"/>
        </w:rPr>
        <w:t>Quality of interview. Comment on specific reasons why the firm should be selected for the project. (Weight 10%)</w:t>
      </w:r>
    </w:p>
    <w:p w14:paraId="17373391" w14:textId="3BC1FB5F" w:rsidR="001B0B20" w:rsidRPr="00F43A99" w:rsidRDefault="001B0B20" w:rsidP="00DD6983"/>
    <w:p w14:paraId="1BD5401C" w14:textId="41AC236E" w:rsidR="001B0B20" w:rsidRPr="00F43A99" w:rsidRDefault="001B0B20" w:rsidP="00297356">
      <w:pPr>
        <w:pStyle w:val="BodyText"/>
        <w:ind w:left="1080"/>
      </w:pPr>
      <w:r w:rsidRPr="00F43A99">
        <w:t xml:space="preserve">Each </w:t>
      </w:r>
      <w:r w:rsidR="00890B84" w:rsidRPr="00F43A99">
        <w:t>proposal</w:t>
      </w:r>
      <w:r w:rsidRPr="00F43A99">
        <w:t xml:space="preserve"> will be evaluated on the above criteria by the Selection Committee.</w:t>
      </w:r>
      <w:r w:rsidR="0062487A" w:rsidRPr="00F43A99">
        <w:t xml:space="preserve"> The interview and proposal scores will be combined to have a final score. The firm with </w:t>
      </w:r>
      <w:r w:rsidR="00AB0EF5" w:rsidRPr="00F43A99">
        <w:t>the best</w:t>
      </w:r>
      <w:r w:rsidR="0062487A" w:rsidRPr="00F43A99">
        <w:t xml:space="preserve"> final score will be contacted for contract negotiations.</w:t>
      </w:r>
      <w:r w:rsidR="00890B84" w:rsidRPr="00F43A99">
        <w:t xml:space="preserve"> </w:t>
      </w:r>
      <w:r w:rsidRPr="00F43A99">
        <w:t xml:space="preserve">The qualifying firm chosen by the Selection Committee will </w:t>
      </w:r>
      <w:r w:rsidR="00AB0EF5" w:rsidRPr="00F43A99">
        <w:t>enter</w:t>
      </w:r>
      <w:r w:rsidRPr="00F43A99">
        <w:t xml:space="preserve"> a contract and fee negotiation based on the</w:t>
      </w:r>
      <w:r w:rsidR="00C21559" w:rsidRPr="00F43A99">
        <w:t xml:space="preserve"> sealed</w:t>
      </w:r>
      <w:r w:rsidRPr="00F43A99">
        <w:t xml:space="preserve"> cost proposal</w:t>
      </w:r>
      <w:r w:rsidR="00C21559" w:rsidRPr="00F43A99">
        <w:t>, submitted in a separate envelope</w:t>
      </w:r>
      <w:r w:rsidRPr="00F43A99">
        <w:t>.</w:t>
      </w:r>
    </w:p>
    <w:p w14:paraId="28EDDB88" w14:textId="77777777" w:rsidR="00AB0EF5" w:rsidRPr="00631BED" w:rsidRDefault="00AB0EF5" w:rsidP="003B5B6B">
      <w:pPr>
        <w:pStyle w:val="BodyText"/>
        <w:ind w:left="0"/>
        <w:rPr>
          <w:color w:val="auto"/>
        </w:rPr>
      </w:pPr>
    </w:p>
    <w:p w14:paraId="6EE7ED32" w14:textId="39319499" w:rsidR="001B0B20" w:rsidRPr="00631BED" w:rsidRDefault="001B0B20" w:rsidP="00C4283C">
      <w:pPr>
        <w:pStyle w:val="Heading1"/>
        <w:spacing w:before="0"/>
        <w:rPr>
          <w:color w:val="auto"/>
        </w:rPr>
      </w:pPr>
      <w:bookmarkStart w:id="13" w:name="_Toc172279723"/>
      <w:bookmarkStart w:id="14" w:name="_Toc193968943"/>
      <w:r w:rsidRPr="00631BED">
        <w:rPr>
          <w:color w:val="auto"/>
        </w:rPr>
        <w:t>Terms and Conditions</w:t>
      </w:r>
      <w:bookmarkEnd w:id="13"/>
      <w:bookmarkEnd w:id="14"/>
    </w:p>
    <w:p w14:paraId="7C837CC1" w14:textId="140E1A55" w:rsidR="00CB76B6" w:rsidRPr="00DB39AE" w:rsidRDefault="00446926" w:rsidP="00CB76B6">
      <w:pPr>
        <w:pStyle w:val="Heading2"/>
      </w:pPr>
      <w:r w:rsidRPr="00DB39AE">
        <w:t>Rejection of Quotes and Selection of Next Most Qualified Firm</w:t>
      </w:r>
    </w:p>
    <w:p w14:paraId="25A81801" w14:textId="156FC920" w:rsidR="00FC7D1B" w:rsidRPr="00DB39AE" w:rsidRDefault="4F038765" w:rsidP="00446926">
      <w:pPr>
        <w:pStyle w:val="BodyText"/>
        <w:spacing w:after="80"/>
        <w:ind w:left="1080"/>
      </w:pPr>
      <w:r w:rsidRPr="00DB39AE">
        <w:t xml:space="preserve">The MPO reserves the right to reject any or all quotes, or to award the contract to the next most qualified firm if the successful firm does not </w:t>
      </w:r>
      <w:bookmarkStart w:id="15" w:name="_Int_d8bK7hK8"/>
      <w:r w:rsidRPr="00DB39AE">
        <w:t>execute</w:t>
      </w:r>
      <w:bookmarkEnd w:id="15"/>
      <w:r w:rsidRPr="00DB39AE">
        <w:t xml:space="preserve"> a contract within forty-five (45) days after the award of the proposal.</w:t>
      </w:r>
    </w:p>
    <w:p w14:paraId="2DEDD097" w14:textId="13C3A363" w:rsidR="00DB201E" w:rsidRPr="00DB39AE" w:rsidRDefault="00DB201E" w:rsidP="00DB201E">
      <w:pPr>
        <w:pStyle w:val="Heading2"/>
      </w:pPr>
      <w:r w:rsidRPr="00DB39AE">
        <w:lastRenderedPageBreak/>
        <w:t>Request for Clarification/Additional Information</w:t>
      </w:r>
    </w:p>
    <w:p w14:paraId="2B52CB02" w14:textId="66C8518F" w:rsidR="00FC7D1B" w:rsidRPr="00DB39AE" w:rsidRDefault="001B0B20" w:rsidP="00DB201E">
      <w:pPr>
        <w:pStyle w:val="BodyText"/>
        <w:spacing w:after="80"/>
        <w:ind w:left="1080"/>
      </w:pPr>
      <w:r w:rsidRPr="00DB39AE">
        <w:t xml:space="preserve">The MPO reserves the right to request clarification of information submitted and to request additional information </w:t>
      </w:r>
      <w:r w:rsidR="00AB0EF5" w:rsidRPr="00DB39AE">
        <w:t>about</w:t>
      </w:r>
      <w:r w:rsidRPr="00DB39AE">
        <w:t xml:space="preserve"> one or more applicants.</w:t>
      </w:r>
    </w:p>
    <w:p w14:paraId="66ACCC9B" w14:textId="72D284F7" w:rsidR="00DB201E" w:rsidRPr="00DB39AE" w:rsidRDefault="008D09A3" w:rsidP="00DB201E">
      <w:pPr>
        <w:pStyle w:val="Heading2"/>
      </w:pPr>
      <w:r w:rsidRPr="00DB39AE">
        <w:t>Right to Withdraw Proposals</w:t>
      </w:r>
    </w:p>
    <w:p w14:paraId="20B101C5" w14:textId="159A9758" w:rsidR="00DA3676" w:rsidRPr="00DB39AE" w:rsidRDefault="4F038765" w:rsidP="008D09A3">
      <w:pPr>
        <w:pStyle w:val="BodyText"/>
        <w:spacing w:after="80"/>
        <w:ind w:left="1080"/>
      </w:pPr>
      <w:r w:rsidRPr="00DB39AE">
        <w:t xml:space="preserve">Any </w:t>
      </w:r>
      <w:r w:rsidR="3F07662F" w:rsidRPr="00DB39AE">
        <w:t>proposal</w:t>
      </w:r>
      <w:r w:rsidRPr="00DB39AE">
        <w:t xml:space="preserve"> may be withdrawn up </w:t>
      </w:r>
      <w:r w:rsidR="00DD4878" w:rsidRPr="00DB39AE">
        <w:t>to</w:t>
      </w:r>
      <w:r w:rsidRPr="00DB39AE">
        <w:t xml:space="preserve"> the date and time set for the opening of the </w:t>
      </w:r>
      <w:r w:rsidR="3F07662F" w:rsidRPr="00DB39AE">
        <w:t>proposals</w:t>
      </w:r>
      <w:r w:rsidRPr="00DB39AE">
        <w:t xml:space="preserve">. Any </w:t>
      </w:r>
      <w:r w:rsidR="3F07662F" w:rsidRPr="00DB39AE">
        <w:t>proposals</w:t>
      </w:r>
      <w:r w:rsidRPr="00DB39AE">
        <w:t xml:space="preserve"> not so withdrawn shall constitute an irrevocable offer, for a period of </w:t>
      </w:r>
      <w:r w:rsidR="47579642" w:rsidRPr="00DB39AE">
        <w:t>90 days (about 3 months)</w:t>
      </w:r>
      <w:r w:rsidRPr="00DB39AE">
        <w:t xml:space="preserve">, to </w:t>
      </w:r>
      <w:r w:rsidR="000B44B4" w:rsidRPr="00DB39AE">
        <w:t>provide</w:t>
      </w:r>
      <w:r w:rsidRPr="00DB39AE">
        <w:t xml:space="preserve"> the </w:t>
      </w:r>
      <w:r w:rsidR="00301E1A" w:rsidRPr="00DB39AE">
        <w:t>MPO with</w:t>
      </w:r>
      <w:r w:rsidRPr="00DB39AE">
        <w:t xml:space="preserve"> the services set forth in the attached specifications, or until one or more of the quotes have been approved by the MPO Policy Board.</w:t>
      </w:r>
    </w:p>
    <w:p w14:paraId="14C51AF0" w14:textId="5D19B5A3" w:rsidR="00717C92" w:rsidRPr="00312F2F" w:rsidRDefault="00717C92" w:rsidP="00717C92">
      <w:pPr>
        <w:pStyle w:val="Heading2"/>
      </w:pPr>
      <w:r w:rsidRPr="00312F2F">
        <w:t>Termination of Contract</w:t>
      </w:r>
    </w:p>
    <w:p w14:paraId="4B7417ED" w14:textId="4D269660" w:rsidR="00DA3676" w:rsidRPr="00312F2F" w:rsidRDefault="001B0B20" w:rsidP="00717C92">
      <w:pPr>
        <w:pStyle w:val="BodyText"/>
        <w:spacing w:after="80"/>
        <w:ind w:left="1080"/>
      </w:pPr>
      <w:r w:rsidRPr="00312F2F">
        <w:t xml:space="preserve">If, </w:t>
      </w:r>
      <w:r w:rsidR="00C4283C" w:rsidRPr="00312F2F">
        <w:t>for</w:t>
      </w:r>
      <w:r w:rsidRPr="00312F2F">
        <w:t xml:space="preserve"> any </w:t>
      </w:r>
      <w:r w:rsidR="00E50A4C" w:rsidRPr="00312F2F">
        <w:t>reason</w:t>
      </w:r>
      <w:r w:rsidRPr="00312F2F">
        <w:t xml:space="preserve">, the </w:t>
      </w:r>
      <w:r w:rsidR="008C64C7" w:rsidRPr="009F5413">
        <w:t>firm</w:t>
      </w:r>
      <w:r w:rsidRPr="009F5413">
        <w:t xml:space="preserve"> fail</w:t>
      </w:r>
      <w:r w:rsidR="004542DB" w:rsidRPr="009F5413">
        <w:t>s</w:t>
      </w:r>
      <w:r w:rsidRPr="00312F2F">
        <w:t xml:space="preserve"> to fulfill in </w:t>
      </w:r>
      <w:r w:rsidR="001C16EB">
        <w:t xml:space="preserve">a </w:t>
      </w:r>
      <w:r w:rsidRPr="00312F2F">
        <w:t xml:space="preserve">timely and proper manner the obligations agreed to, the MPO shall have the right to terminate its contract by specifying the date of termination in </w:t>
      </w:r>
      <w:proofErr w:type="gramStart"/>
      <w:r w:rsidRPr="00312F2F">
        <w:t>a written</w:t>
      </w:r>
      <w:proofErr w:type="gramEnd"/>
      <w:r w:rsidRPr="00312F2F">
        <w:t xml:space="preserve"> notice to the firm at least ninety (90) working days before the termination date. In this event, the firm shall be entitled to just and equitable compensation for any satisfactory work completed.</w:t>
      </w:r>
    </w:p>
    <w:p w14:paraId="5CB034CB" w14:textId="5434490A" w:rsidR="007A44FA" w:rsidRPr="00E869AE" w:rsidRDefault="007A44FA" w:rsidP="007A44FA">
      <w:pPr>
        <w:pStyle w:val="Heading2"/>
      </w:pPr>
      <w:r w:rsidRPr="00E869AE">
        <w:t>MPO-approved Contract Required</w:t>
      </w:r>
    </w:p>
    <w:p w14:paraId="6DC70765" w14:textId="17FEB5D6" w:rsidR="00893B58" w:rsidRPr="00E869AE" w:rsidRDefault="001B0B20" w:rsidP="00E62CE2">
      <w:pPr>
        <w:pStyle w:val="BodyText"/>
        <w:spacing w:after="80"/>
        <w:ind w:left="1080"/>
      </w:pPr>
      <w:r w:rsidRPr="00E869AE">
        <w:t xml:space="preserve">Any agreement or contract resulting from the acceptance of a proposal shall be on </w:t>
      </w:r>
      <w:proofErr w:type="gramStart"/>
      <w:r w:rsidRPr="00E869AE">
        <w:t>forms</w:t>
      </w:r>
      <w:proofErr w:type="gramEnd"/>
      <w:r w:rsidRPr="00E869AE">
        <w:t xml:space="preserve"> either supplied by or approved by the MPO and shall contain, as a minimum, applicable provisions of the Request for </w:t>
      </w:r>
      <w:r w:rsidR="00E62CE2" w:rsidRPr="00E869AE">
        <w:t>Proposal</w:t>
      </w:r>
      <w:r w:rsidRPr="00E869AE">
        <w:t xml:space="preserve">. The MPO reserves the right to reject any agreement that does not conform to the Request for </w:t>
      </w:r>
      <w:r w:rsidR="0004153C" w:rsidRPr="00E869AE">
        <w:t>Proposal</w:t>
      </w:r>
      <w:r w:rsidRPr="00E869AE">
        <w:t xml:space="preserve"> and any MPO requirements for agreements and contracts.</w:t>
      </w:r>
    </w:p>
    <w:p w14:paraId="5977F7EC" w14:textId="6B0E775B" w:rsidR="00F2404C" w:rsidRPr="006B1526" w:rsidRDefault="00F2404C" w:rsidP="00F2404C">
      <w:pPr>
        <w:pStyle w:val="Heading2"/>
      </w:pPr>
      <w:r w:rsidRPr="006B1526">
        <w:t>No Assignment Without Prior Consent</w:t>
      </w:r>
    </w:p>
    <w:p w14:paraId="6A620B1B" w14:textId="0C5950A8" w:rsidR="00A41574" w:rsidRPr="00DF7EBD" w:rsidRDefault="001B0B20" w:rsidP="00F2404C">
      <w:pPr>
        <w:pStyle w:val="BodyText"/>
        <w:spacing w:after="80"/>
        <w:ind w:left="1080"/>
      </w:pPr>
      <w:r w:rsidRPr="006B1526">
        <w:t>The firm shall not assign any interest in the contract and shall not transfer any interest in the same without prior written consent of the MPO.</w:t>
      </w:r>
    </w:p>
    <w:p w14:paraId="38E22ADE" w14:textId="4712D653" w:rsidR="007733B0" w:rsidRPr="00631BED" w:rsidRDefault="0025553D" w:rsidP="00010696">
      <w:pPr>
        <w:pStyle w:val="Heading1"/>
        <w:spacing w:after="240"/>
        <w:rPr>
          <w:color w:val="auto"/>
        </w:rPr>
      </w:pPr>
      <w:bookmarkStart w:id="16" w:name="_Toc172279725"/>
      <w:bookmarkStart w:id="17" w:name="_Toc193968945"/>
      <w:bookmarkStart w:id="18" w:name="_Hlk60746643"/>
      <w:r w:rsidRPr="00631BED">
        <w:rPr>
          <w:color w:val="auto"/>
        </w:rPr>
        <w:t>Background and Scope of Work</w:t>
      </w:r>
      <w:bookmarkEnd w:id="16"/>
      <w:bookmarkEnd w:id="17"/>
    </w:p>
    <w:p w14:paraId="28889BA7" w14:textId="234801D2" w:rsidR="0025553D" w:rsidRPr="009A39DB" w:rsidRDefault="0025553D" w:rsidP="00010696">
      <w:pPr>
        <w:pStyle w:val="Heading2"/>
        <w:rPr>
          <w:rFonts w:ascii="Calibri" w:hAnsi="Calibri" w:cs="Calibri"/>
        </w:rPr>
      </w:pPr>
      <w:r w:rsidRPr="009A39DB">
        <w:rPr>
          <w:rFonts w:ascii="Calibri" w:hAnsi="Calibri" w:cs="Calibri"/>
        </w:rPr>
        <w:t>Background</w:t>
      </w:r>
    </w:p>
    <w:p w14:paraId="1291EC56" w14:textId="3A159891" w:rsidR="00040771" w:rsidRDefault="00A86809" w:rsidP="00E75FE0">
      <w:pPr>
        <w:pStyle w:val="BodyText"/>
        <w:ind w:left="1166"/>
        <w:rPr>
          <w:rFonts w:eastAsiaTheme="majorEastAsia" w:cs="Calibri"/>
          <w:lang w:bidi="ar-SA"/>
        </w:rPr>
      </w:pPr>
      <w:r w:rsidRPr="009A39DB">
        <w:rPr>
          <w:rFonts w:eastAsiaTheme="majorEastAsia" w:cs="Calibri"/>
          <w:lang w:bidi="ar-SA"/>
        </w:rPr>
        <w:t>The Grand Forks-East Grand Forks metropolitan area is located along the North Dakota and Minnesota border about 75 miles south of the Canadian border.</w:t>
      </w:r>
      <w:r w:rsidR="00E63FE5" w:rsidRPr="009A39DB">
        <w:rPr>
          <w:rFonts w:eastAsiaTheme="majorEastAsia" w:cs="Calibri"/>
          <w:lang w:bidi="ar-SA"/>
        </w:rPr>
        <w:t xml:space="preserve"> </w:t>
      </w:r>
      <w:r w:rsidR="00787E75" w:rsidRPr="009A39DB">
        <w:rPr>
          <w:rFonts w:eastAsiaTheme="majorEastAsia" w:cs="Calibri"/>
          <w:lang w:bidi="ar-SA"/>
        </w:rPr>
        <w:t xml:space="preserve">The MPO </w:t>
      </w:r>
      <w:r w:rsidR="000A67B3">
        <w:rPr>
          <w:rFonts w:eastAsiaTheme="majorEastAsia" w:cs="Calibri"/>
          <w:lang w:bidi="ar-SA"/>
        </w:rPr>
        <w:t>member jurisdictions include</w:t>
      </w:r>
      <w:r w:rsidR="00D544BA" w:rsidRPr="009A39DB">
        <w:rPr>
          <w:rFonts w:eastAsiaTheme="majorEastAsia" w:cs="Calibri"/>
          <w:lang w:bidi="ar-SA"/>
        </w:rPr>
        <w:t xml:space="preserve"> the cities of Grand Forks, ND and East Grand Forks, MN</w:t>
      </w:r>
      <w:r w:rsidR="00FE0A2E" w:rsidRPr="009A39DB">
        <w:rPr>
          <w:rFonts w:eastAsiaTheme="majorEastAsia" w:cs="Calibri"/>
          <w:lang w:bidi="ar-SA"/>
        </w:rPr>
        <w:t xml:space="preserve">, </w:t>
      </w:r>
      <w:r w:rsidR="000A67B3">
        <w:rPr>
          <w:rFonts w:eastAsiaTheme="majorEastAsia" w:cs="Calibri"/>
          <w:lang w:bidi="ar-SA"/>
        </w:rPr>
        <w:t>and</w:t>
      </w:r>
      <w:r w:rsidR="00FE0A2E" w:rsidRPr="009A39DB">
        <w:rPr>
          <w:rFonts w:eastAsiaTheme="majorEastAsia" w:cs="Calibri"/>
          <w:lang w:bidi="ar-SA"/>
        </w:rPr>
        <w:t xml:space="preserve"> Grand Forks County, ND and Polk County, MN</w:t>
      </w:r>
      <w:r w:rsidR="00214773" w:rsidRPr="009A39DB">
        <w:rPr>
          <w:rFonts w:eastAsiaTheme="majorEastAsia" w:cs="Calibri"/>
          <w:lang w:bidi="ar-SA"/>
        </w:rPr>
        <w:t>.</w:t>
      </w:r>
      <w:r w:rsidR="009E4710" w:rsidRPr="009A39DB">
        <w:rPr>
          <w:rFonts w:eastAsiaTheme="majorEastAsia" w:cs="Calibri"/>
          <w:lang w:bidi="ar-SA"/>
        </w:rPr>
        <w:t xml:space="preserve"> </w:t>
      </w:r>
      <w:r w:rsidR="00C92EEA">
        <w:rPr>
          <w:rFonts w:eastAsiaTheme="majorEastAsia" w:cs="Calibri"/>
          <w:lang w:bidi="ar-SA"/>
        </w:rPr>
        <w:t xml:space="preserve">The metropolitan planning area is </w:t>
      </w:r>
      <w:r w:rsidR="00AE3B6B">
        <w:rPr>
          <w:rFonts w:eastAsiaTheme="majorEastAsia" w:cs="Calibri"/>
          <w:lang w:bidi="ar-SA"/>
        </w:rPr>
        <w:t xml:space="preserve">comprised of </w:t>
      </w:r>
      <w:r w:rsidR="00AE3B6B" w:rsidRPr="00655ED8">
        <w:rPr>
          <w:rFonts w:eastAsiaTheme="majorEastAsia" w:cs="Calibri"/>
          <w:lang w:bidi="ar-SA"/>
        </w:rPr>
        <w:t xml:space="preserve">approximately </w:t>
      </w:r>
      <w:r w:rsidR="00655ED8" w:rsidRPr="00655ED8">
        <w:rPr>
          <w:rFonts w:eastAsiaTheme="majorEastAsia" w:cs="Calibri"/>
          <w:lang w:bidi="ar-SA"/>
        </w:rPr>
        <w:t>115</w:t>
      </w:r>
      <w:r w:rsidR="00AE3B6B" w:rsidRPr="00655ED8">
        <w:rPr>
          <w:rFonts w:eastAsiaTheme="majorEastAsia" w:cs="Calibri"/>
          <w:lang w:bidi="ar-SA"/>
        </w:rPr>
        <w:t xml:space="preserve"> square</w:t>
      </w:r>
      <w:r w:rsidR="00AE3B6B">
        <w:rPr>
          <w:rFonts w:eastAsiaTheme="majorEastAsia" w:cs="Calibri"/>
          <w:lang w:bidi="ar-SA"/>
        </w:rPr>
        <w:t xml:space="preserve"> miles including </w:t>
      </w:r>
      <w:proofErr w:type="gramStart"/>
      <w:r w:rsidR="00AE3B6B">
        <w:rPr>
          <w:rFonts w:eastAsiaTheme="majorEastAsia" w:cs="Calibri"/>
          <w:lang w:bidi="ar-SA"/>
        </w:rPr>
        <w:t>all of</w:t>
      </w:r>
      <w:proofErr w:type="gramEnd"/>
      <w:r w:rsidR="00AE3B6B">
        <w:rPr>
          <w:rFonts w:eastAsiaTheme="majorEastAsia" w:cs="Calibri"/>
          <w:lang w:bidi="ar-SA"/>
        </w:rPr>
        <w:t xml:space="preserve"> the incorporated city l</w:t>
      </w:r>
      <w:r w:rsidR="00457000">
        <w:rPr>
          <w:rFonts w:eastAsiaTheme="majorEastAsia" w:cs="Calibri"/>
          <w:lang w:bidi="ar-SA"/>
        </w:rPr>
        <w:t xml:space="preserve">imits of Grand Forks and East Grand Forks and </w:t>
      </w:r>
      <w:r w:rsidR="00457000" w:rsidRPr="007F0517">
        <w:rPr>
          <w:rFonts w:eastAsiaTheme="majorEastAsia" w:cs="Calibri"/>
          <w:lang w:bidi="ar-SA"/>
        </w:rPr>
        <w:t>portions of Grand Forks and Polk counties. The 202</w:t>
      </w:r>
      <w:r w:rsidR="006A7C0F" w:rsidRPr="007F0517">
        <w:rPr>
          <w:rFonts w:eastAsiaTheme="majorEastAsia" w:cs="Calibri"/>
          <w:lang w:bidi="ar-SA"/>
        </w:rPr>
        <w:t>5</w:t>
      </w:r>
      <w:r w:rsidR="00E064B3" w:rsidRPr="007F0517">
        <w:rPr>
          <w:rFonts w:eastAsiaTheme="majorEastAsia" w:cs="Calibri"/>
          <w:lang w:bidi="ar-SA"/>
        </w:rPr>
        <w:t xml:space="preserve"> metropolitan planning area population</w:t>
      </w:r>
      <w:r w:rsidR="00D45878">
        <w:rPr>
          <w:rFonts w:eastAsiaTheme="majorEastAsia" w:cs="Calibri"/>
          <w:lang w:bidi="ar-SA"/>
        </w:rPr>
        <w:t xml:space="preserve"> estimate</w:t>
      </w:r>
      <w:r w:rsidR="00E064B3" w:rsidRPr="007F0517">
        <w:rPr>
          <w:rFonts w:eastAsiaTheme="majorEastAsia" w:cs="Calibri"/>
          <w:lang w:bidi="ar-SA"/>
        </w:rPr>
        <w:t xml:space="preserve"> </w:t>
      </w:r>
      <w:r w:rsidR="001C187C" w:rsidRPr="007F0517">
        <w:rPr>
          <w:rFonts w:eastAsiaTheme="majorEastAsia" w:cs="Calibri"/>
          <w:lang w:bidi="ar-SA"/>
        </w:rPr>
        <w:t xml:space="preserve">was </w:t>
      </w:r>
      <w:r w:rsidR="007F0517" w:rsidRPr="007F0517">
        <w:rPr>
          <w:rFonts w:eastAsiaTheme="majorEastAsia" w:cs="Calibri"/>
          <w:lang w:bidi="ar-SA"/>
        </w:rPr>
        <w:t>70,382</w:t>
      </w:r>
      <w:r w:rsidR="001C187C">
        <w:rPr>
          <w:rFonts w:eastAsiaTheme="majorEastAsia" w:cs="Calibri"/>
          <w:lang w:bidi="ar-SA"/>
        </w:rPr>
        <w:t xml:space="preserve"> </w:t>
      </w:r>
      <w:r w:rsidR="00111B8E">
        <w:rPr>
          <w:rFonts w:eastAsiaTheme="majorEastAsia" w:cs="Calibri"/>
          <w:lang w:bidi="ar-SA"/>
        </w:rPr>
        <w:t>with the following percentage distribution by jurisdiction within the MPO:</w:t>
      </w:r>
    </w:p>
    <w:p w14:paraId="11E8CA1A" w14:textId="58280B04" w:rsidR="00111B8E" w:rsidRPr="00E64670" w:rsidRDefault="007642D3" w:rsidP="00E75FE0">
      <w:pPr>
        <w:pStyle w:val="BodyText"/>
        <w:numPr>
          <w:ilvl w:val="0"/>
          <w:numId w:val="40"/>
        </w:numPr>
        <w:rPr>
          <w:rFonts w:eastAsiaTheme="majorEastAsia" w:cs="Calibri"/>
          <w:lang w:bidi="ar-SA"/>
        </w:rPr>
      </w:pPr>
      <w:r w:rsidRPr="00E64670">
        <w:rPr>
          <w:rFonts w:eastAsiaTheme="majorEastAsia" w:cs="Calibri"/>
          <w:lang w:bidi="ar-SA"/>
        </w:rPr>
        <w:t xml:space="preserve">City of Grand Forks – </w:t>
      </w:r>
      <w:r w:rsidR="00E64670" w:rsidRPr="00E64670">
        <w:rPr>
          <w:rFonts w:eastAsiaTheme="majorEastAsia" w:cs="Calibri"/>
          <w:lang w:bidi="ar-SA"/>
        </w:rPr>
        <w:t>59,405</w:t>
      </w:r>
    </w:p>
    <w:p w14:paraId="3C61AA47" w14:textId="28992FD7" w:rsidR="007642D3" w:rsidRPr="00E64670" w:rsidRDefault="007642D3" w:rsidP="00E75FE0">
      <w:pPr>
        <w:pStyle w:val="BodyText"/>
        <w:numPr>
          <w:ilvl w:val="0"/>
          <w:numId w:val="40"/>
        </w:numPr>
        <w:rPr>
          <w:rFonts w:eastAsiaTheme="majorEastAsia" w:cs="Calibri"/>
          <w:lang w:bidi="ar-SA"/>
        </w:rPr>
      </w:pPr>
      <w:r w:rsidRPr="00E64670">
        <w:rPr>
          <w:rFonts w:eastAsiaTheme="majorEastAsia" w:cs="Calibri"/>
          <w:lang w:bidi="ar-SA"/>
        </w:rPr>
        <w:t xml:space="preserve">City of East Grand Forks – </w:t>
      </w:r>
      <w:r w:rsidR="00E64670" w:rsidRPr="00E64670">
        <w:rPr>
          <w:rFonts w:eastAsiaTheme="majorEastAsia" w:cs="Calibri"/>
          <w:lang w:bidi="ar-SA"/>
        </w:rPr>
        <w:t>9,11</w:t>
      </w:r>
      <w:r w:rsidR="00C706C2">
        <w:rPr>
          <w:rFonts w:eastAsiaTheme="majorEastAsia" w:cs="Calibri"/>
          <w:lang w:bidi="ar-SA"/>
        </w:rPr>
        <w:t>3</w:t>
      </w:r>
    </w:p>
    <w:p w14:paraId="7720B8B4" w14:textId="11AFC17D" w:rsidR="007642D3" w:rsidRDefault="001C5A29" w:rsidP="00E75FE0">
      <w:pPr>
        <w:pStyle w:val="BodyText"/>
        <w:numPr>
          <w:ilvl w:val="0"/>
          <w:numId w:val="40"/>
        </w:numPr>
        <w:rPr>
          <w:rFonts w:eastAsiaTheme="majorEastAsia" w:cs="Calibri"/>
          <w:lang w:bidi="ar-SA"/>
        </w:rPr>
      </w:pPr>
      <w:r>
        <w:rPr>
          <w:rFonts w:eastAsiaTheme="majorEastAsia" w:cs="Calibri"/>
          <w:lang w:bidi="ar-SA"/>
        </w:rPr>
        <w:t>Grand Forks County</w:t>
      </w:r>
      <w:r w:rsidR="00806688">
        <w:rPr>
          <w:rFonts w:eastAsiaTheme="majorEastAsia" w:cs="Calibri"/>
          <w:lang w:bidi="ar-SA"/>
        </w:rPr>
        <w:t xml:space="preserve"> (outside Grand Forks)</w:t>
      </w:r>
      <w:r>
        <w:rPr>
          <w:rFonts w:eastAsiaTheme="majorEastAsia" w:cs="Calibri"/>
          <w:lang w:bidi="ar-SA"/>
        </w:rPr>
        <w:t xml:space="preserve"> – </w:t>
      </w:r>
      <w:r w:rsidR="00E77FC8">
        <w:rPr>
          <w:rFonts w:eastAsiaTheme="majorEastAsia" w:cs="Calibri"/>
          <w:lang w:bidi="ar-SA"/>
        </w:rPr>
        <w:t>1,158</w:t>
      </w:r>
    </w:p>
    <w:p w14:paraId="0F80C754" w14:textId="1D9BBF27" w:rsidR="001C5A29" w:rsidRDefault="001C5A29" w:rsidP="00E75FE0">
      <w:pPr>
        <w:pStyle w:val="BodyText"/>
        <w:numPr>
          <w:ilvl w:val="0"/>
          <w:numId w:val="40"/>
        </w:numPr>
        <w:rPr>
          <w:rFonts w:eastAsiaTheme="majorEastAsia" w:cs="Calibri"/>
          <w:lang w:bidi="ar-SA"/>
        </w:rPr>
      </w:pPr>
      <w:r>
        <w:rPr>
          <w:rFonts w:eastAsiaTheme="majorEastAsia" w:cs="Calibri"/>
          <w:lang w:bidi="ar-SA"/>
        </w:rPr>
        <w:t>Polk County</w:t>
      </w:r>
      <w:r w:rsidR="00806688">
        <w:rPr>
          <w:rFonts w:eastAsiaTheme="majorEastAsia" w:cs="Calibri"/>
          <w:lang w:bidi="ar-SA"/>
        </w:rPr>
        <w:t xml:space="preserve"> (outside East Grand Forks)</w:t>
      </w:r>
      <w:r>
        <w:rPr>
          <w:rFonts w:eastAsiaTheme="majorEastAsia" w:cs="Calibri"/>
          <w:lang w:bidi="ar-SA"/>
        </w:rPr>
        <w:t xml:space="preserve"> </w:t>
      </w:r>
      <w:r w:rsidR="006E3769">
        <w:rPr>
          <w:rFonts w:eastAsiaTheme="majorEastAsia" w:cs="Calibri"/>
          <w:lang w:bidi="ar-SA"/>
        </w:rPr>
        <w:t>–</w:t>
      </w:r>
      <w:r>
        <w:rPr>
          <w:rFonts w:eastAsiaTheme="majorEastAsia" w:cs="Calibri"/>
          <w:lang w:bidi="ar-SA"/>
        </w:rPr>
        <w:t xml:space="preserve"> </w:t>
      </w:r>
      <w:r w:rsidR="00636B70">
        <w:rPr>
          <w:rFonts w:eastAsiaTheme="majorEastAsia" w:cs="Calibri"/>
          <w:lang w:bidi="ar-SA"/>
        </w:rPr>
        <w:t>706</w:t>
      </w:r>
    </w:p>
    <w:p w14:paraId="0AFDE232" w14:textId="77777777" w:rsidR="006E3769" w:rsidRPr="00D04A4A" w:rsidRDefault="006E3769" w:rsidP="00E75FE0">
      <w:pPr>
        <w:pStyle w:val="BodyText"/>
        <w:ind w:left="2160"/>
        <w:rPr>
          <w:rFonts w:eastAsiaTheme="majorEastAsia" w:cs="Calibri"/>
          <w:lang w:bidi="ar-SA"/>
        </w:rPr>
      </w:pPr>
    </w:p>
    <w:p w14:paraId="0EE6BF40" w14:textId="7F9128F2" w:rsidR="00870159" w:rsidRDefault="001C5A29" w:rsidP="00E75FE0">
      <w:pPr>
        <w:pStyle w:val="BodyText"/>
        <w:ind w:left="1166"/>
        <w:rPr>
          <w:rFonts w:eastAsiaTheme="majorEastAsia" w:cs="Calibri"/>
          <w:lang w:bidi="ar-SA"/>
        </w:rPr>
      </w:pPr>
      <w:r>
        <w:rPr>
          <w:rFonts w:eastAsiaTheme="majorEastAsia" w:cs="Calibri"/>
          <w:lang w:bidi="ar-SA"/>
        </w:rPr>
        <w:t>In preparation of th</w:t>
      </w:r>
      <w:r w:rsidR="001B69E1">
        <w:rPr>
          <w:rFonts w:eastAsiaTheme="majorEastAsia" w:cs="Calibri"/>
          <w:lang w:bidi="ar-SA"/>
        </w:rPr>
        <w:t>is planning effort a socioeconomic analysis is currently underway which will establish population and employment estimates and distributions</w:t>
      </w:r>
      <w:r w:rsidR="00E64370">
        <w:rPr>
          <w:rFonts w:eastAsiaTheme="majorEastAsia" w:cs="Calibri"/>
          <w:lang w:bidi="ar-SA"/>
        </w:rPr>
        <w:t>, for the MPO planning area,</w:t>
      </w:r>
      <w:r w:rsidR="001B69E1">
        <w:rPr>
          <w:rFonts w:eastAsiaTheme="majorEastAsia" w:cs="Calibri"/>
          <w:lang w:bidi="ar-SA"/>
        </w:rPr>
        <w:t xml:space="preserve"> </w:t>
      </w:r>
      <w:r w:rsidR="00720BA8">
        <w:rPr>
          <w:rFonts w:eastAsiaTheme="majorEastAsia" w:cs="Calibri"/>
          <w:lang w:bidi="ar-SA"/>
        </w:rPr>
        <w:t xml:space="preserve">to the </w:t>
      </w:r>
      <w:r w:rsidR="00720BA8" w:rsidRPr="00823BBC">
        <w:rPr>
          <w:rFonts w:eastAsiaTheme="majorEastAsia" w:cs="Calibri"/>
          <w:lang w:bidi="ar-SA"/>
        </w:rPr>
        <w:t>years 2040 and 2055</w:t>
      </w:r>
      <w:r w:rsidR="00720BA8">
        <w:rPr>
          <w:rFonts w:eastAsiaTheme="majorEastAsia" w:cs="Calibri"/>
          <w:lang w:bidi="ar-SA"/>
        </w:rPr>
        <w:t xml:space="preserve">. </w:t>
      </w:r>
      <w:r w:rsidR="00720BA8" w:rsidRPr="009F5413">
        <w:rPr>
          <w:rFonts w:eastAsiaTheme="majorEastAsia" w:cs="Calibri"/>
          <w:lang w:bidi="ar-SA"/>
        </w:rPr>
        <w:t xml:space="preserve">This </w:t>
      </w:r>
      <w:r w:rsidR="00361C9E" w:rsidRPr="009F5413">
        <w:rPr>
          <w:rFonts w:eastAsiaTheme="majorEastAsia" w:cs="Calibri"/>
          <w:lang w:bidi="ar-SA"/>
        </w:rPr>
        <w:t>projection and allocation process</w:t>
      </w:r>
      <w:r w:rsidR="00720BA8">
        <w:rPr>
          <w:rFonts w:eastAsiaTheme="majorEastAsia" w:cs="Calibri"/>
          <w:lang w:bidi="ar-SA"/>
        </w:rPr>
        <w:t xml:space="preserve"> is anticipated to be </w:t>
      </w:r>
      <w:proofErr w:type="gramStart"/>
      <w:r w:rsidR="00720BA8">
        <w:rPr>
          <w:rFonts w:eastAsiaTheme="majorEastAsia" w:cs="Calibri"/>
          <w:lang w:bidi="ar-SA"/>
        </w:rPr>
        <w:t>complete</w:t>
      </w:r>
      <w:proofErr w:type="gramEnd"/>
      <w:r w:rsidR="00720BA8">
        <w:rPr>
          <w:rFonts w:eastAsiaTheme="majorEastAsia" w:cs="Calibri"/>
          <w:lang w:bidi="ar-SA"/>
        </w:rPr>
        <w:t xml:space="preserve"> </w:t>
      </w:r>
      <w:r w:rsidR="00C670FC" w:rsidRPr="00823BBC">
        <w:rPr>
          <w:rFonts w:eastAsiaTheme="majorEastAsia" w:cs="Calibri"/>
          <w:lang w:bidi="ar-SA"/>
        </w:rPr>
        <w:t xml:space="preserve">by </w:t>
      </w:r>
      <w:r w:rsidR="00C670FC" w:rsidRPr="00823BBC">
        <w:rPr>
          <w:rFonts w:eastAsiaTheme="majorEastAsia" w:cs="Calibri"/>
          <w:lang w:bidi="ar-SA"/>
        </w:rPr>
        <w:lastRenderedPageBreak/>
        <w:t xml:space="preserve">June 2026. </w:t>
      </w:r>
      <w:r w:rsidR="00D500AD" w:rsidRPr="00823BBC">
        <w:rPr>
          <w:rFonts w:eastAsiaTheme="majorEastAsia" w:cs="Calibri"/>
          <w:lang w:bidi="ar-SA"/>
        </w:rPr>
        <w:t>Additionally</w:t>
      </w:r>
      <w:r w:rsidR="00D500AD">
        <w:rPr>
          <w:rFonts w:eastAsiaTheme="majorEastAsia" w:cs="Calibri"/>
          <w:lang w:bidi="ar-SA"/>
        </w:rPr>
        <w:t xml:space="preserve">, the MPO will be working with a vendor to obtain </w:t>
      </w:r>
      <w:r w:rsidR="006C40B4">
        <w:rPr>
          <w:rFonts w:eastAsiaTheme="majorEastAsia" w:cs="Calibri"/>
          <w:lang w:bidi="ar-SA"/>
        </w:rPr>
        <w:t xml:space="preserve">2025 origin/destination movements within the area. The resulting products of each of these efforts will be used in the development of the </w:t>
      </w:r>
      <w:r w:rsidR="00413EC1">
        <w:rPr>
          <w:rFonts w:eastAsiaTheme="majorEastAsia" w:cs="Calibri"/>
          <w:lang w:bidi="ar-SA"/>
        </w:rPr>
        <w:t xml:space="preserve">MPOs regional travel demand model update. </w:t>
      </w:r>
      <w:r w:rsidR="00FC6239">
        <w:rPr>
          <w:rFonts w:eastAsiaTheme="majorEastAsia" w:cs="Calibri"/>
          <w:lang w:bidi="ar-SA"/>
        </w:rPr>
        <w:t xml:space="preserve">The MPO contracts with the Advanced Traffic Analysis Center </w:t>
      </w:r>
      <w:r w:rsidR="00C52D6F">
        <w:rPr>
          <w:rFonts w:eastAsiaTheme="majorEastAsia" w:cs="Calibri"/>
          <w:lang w:bidi="ar-SA"/>
        </w:rPr>
        <w:t xml:space="preserve">(ATAC) </w:t>
      </w:r>
      <w:r w:rsidR="00FC6239">
        <w:rPr>
          <w:rFonts w:eastAsiaTheme="majorEastAsia" w:cs="Calibri"/>
          <w:lang w:bidi="ar-SA"/>
        </w:rPr>
        <w:t xml:space="preserve">to </w:t>
      </w:r>
      <w:r w:rsidR="00584FB6">
        <w:rPr>
          <w:rFonts w:eastAsiaTheme="majorEastAsia" w:cs="Calibri"/>
          <w:lang w:bidi="ar-SA"/>
        </w:rPr>
        <w:t>update and run the region</w:t>
      </w:r>
      <w:r w:rsidR="000E43AD">
        <w:rPr>
          <w:rFonts w:eastAsiaTheme="majorEastAsia" w:cs="Calibri"/>
          <w:lang w:bidi="ar-SA"/>
        </w:rPr>
        <w:t>’</w:t>
      </w:r>
      <w:r w:rsidR="00584FB6">
        <w:rPr>
          <w:rFonts w:eastAsiaTheme="majorEastAsia" w:cs="Calibri"/>
          <w:lang w:bidi="ar-SA"/>
        </w:rPr>
        <w:t xml:space="preserve">s travel demand model. The consultant of choice will need to work with ATAC </w:t>
      </w:r>
      <w:r w:rsidR="00127320">
        <w:rPr>
          <w:rFonts w:eastAsiaTheme="majorEastAsia" w:cs="Calibri"/>
          <w:lang w:bidi="ar-SA"/>
        </w:rPr>
        <w:t>staff on model developing scenarios/model runs</w:t>
      </w:r>
      <w:r w:rsidR="00ED6FF5">
        <w:rPr>
          <w:rFonts w:eastAsiaTheme="majorEastAsia" w:cs="Calibri"/>
          <w:lang w:bidi="ar-SA"/>
        </w:rPr>
        <w:t xml:space="preserve"> and the model outputs. </w:t>
      </w:r>
      <w:r w:rsidR="00460BC8">
        <w:rPr>
          <w:rFonts w:eastAsiaTheme="majorEastAsia" w:cs="Calibri"/>
          <w:lang w:bidi="ar-SA"/>
        </w:rPr>
        <w:t xml:space="preserve">  </w:t>
      </w:r>
      <w:r w:rsidR="00413EC1">
        <w:rPr>
          <w:rFonts w:eastAsiaTheme="majorEastAsia" w:cs="Calibri"/>
          <w:lang w:bidi="ar-SA"/>
        </w:rPr>
        <w:t xml:space="preserve">The travel demand model update is scheduled to be available by </w:t>
      </w:r>
      <w:r w:rsidR="00597755">
        <w:rPr>
          <w:rFonts w:eastAsiaTheme="majorEastAsia" w:cs="Calibri"/>
          <w:lang w:bidi="ar-SA"/>
        </w:rPr>
        <w:t>no later than December 31, 2026.</w:t>
      </w:r>
    </w:p>
    <w:p w14:paraId="2CB15E5B" w14:textId="096128A8" w:rsidR="0038744F" w:rsidRDefault="00D04A4A" w:rsidP="00E75FE0">
      <w:pPr>
        <w:pStyle w:val="BodyText"/>
        <w:ind w:left="1166"/>
        <w:rPr>
          <w:rFonts w:eastAsiaTheme="majorEastAsia" w:cs="Calibri"/>
          <w:lang w:bidi="ar-SA"/>
        </w:rPr>
      </w:pPr>
      <w:r>
        <w:rPr>
          <w:rFonts w:eastAsiaTheme="majorEastAsia" w:cs="Calibri"/>
          <w:lang w:bidi="ar-SA"/>
        </w:rPr>
        <w:t>The region is comprised of a multimodal transportation network</w:t>
      </w:r>
      <w:r w:rsidR="00117607">
        <w:rPr>
          <w:rFonts w:eastAsiaTheme="majorEastAsia" w:cs="Calibri"/>
          <w:lang w:bidi="ar-SA"/>
        </w:rPr>
        <w:t xml:space="preserve"> </w:t>
      </w:r>
      <w:proofErr w:type="gramStart"/>
      <w:r w:rsidR="003E66B0">
        <w:rPr>
          <w:rFonts w:eastAsiaTheme="majorEastAsia" w:cs="Calibri"/>
          <w:lang w:bidi="ar-SA"/>
        </w:rPr>
        <w:t>including</w:t>
      </w:r>
      <w:r w:rsidR="00117607">
        <w:rPr>
          <w:rFonts w:eastAsiaTheme="majorEastAsia" w:cs="Calibri"/>
          <w:lang w:bidi="ar-SA"/>
        </w:rPr>
        <w:t>:</w:t>
      </w:r>
      <w:proofErr w:type="gramEnd"/>
      <w:r w:rsidR="00117607">
        <w:rPr>
          <w:rFonts w:eastAsiaTheme="majorEastAsia" w:cs="Calibri"/>
          <w:lang w:bidi="ar-SA"/>
        </w:rPr>
        <w:t xml:space="preserve"> passenger and freight vehicle; bicycle and pedestrian; </w:t>
      </w:r>
      <w:r w:rsidR="00562512">
        <w:rPr>
          <w:rFonts w:eastAsiaTheme="majorEastAsia" w:cs="Calibri"/>
          <w:lang w:bidi="ar-SA"/>
        </w:rPr>
        <w:t>rail</w:t>
      </w:r>
      <w:r w:rsidR="00B35622">
        <w:rPr>
          <w:rFonts w:eastAsiaTheme="majorEastAsia" w:cs="Calibri"/>
          <w:lang w:bidi="ar-SA"/>
        </w:rPr>
        <w:t>; air</w:t>
      </w:r>
      <w:r w:rsidR="00562512">
        <w:rPr>
          <w:rFonts w:eastAsiaTheme="majorEastAsia" w:cs="Calibri"/>
          <w:lang w:bidi="ar-SA"/>
        </w:rPr>
        <w:t xml:space="preserve"> </w:t>
      </w:r>
      <w:r w:rsidR="00117607">
        <w:rPr>
          <w:rFonts w:eastAsiaTheme="majorEastAsia" w:cs="Calibri"/>
          <w:lang w:bidi="ar-SA"/>
        </w:rPr>
        <w:t>and public</w:t>
      </w:r>
      <w:r w:rsidR="005B3644">
        <w:rPr>
          <w:rFonts w:eastAsiaTheme="majorEastAsia" w:cs="Calibri"/>
          <w:lang w:bidi="ar-SA"/>
        </w:rPr>
        <w:t>/private bus</w:t>
      </w:r>
      <w:r w:rsidR="00117607">
        <w:rPr>
          <w:rFonts w:eastAsiaTheme="majorEastAsia" w:cs="Calibri"/>
          <w:lang w:bidi="ar-SA"/>
        </w:rPr>
        <w:t xml:space="preserve"> transportation systems</w:t>
      </w:r>
      <w:r w:rsidR="00B33331">
        <w:rPr>
          <w:rFonts w:eastAsiaTheme="majorEastAsia" w:cs="Calibri"/>
          <w:lang w:bidi="ar-SA"/>
        </w:rPr>
        <w:t xml:space="preserve">. </w:t>
      </w:r>
    </w:p>
    <w:p w14:paraId="3FB87BF4" w14:textId="77777777" w:rsidR="00E75FE0" w:rsidRDefault="00E75FE0" w:rsidP="00E75FE0">
      <w:pPr>
        <w:pStyle w:val="BodyText"/>
        <w:ind w:left="1166"/>
        <w:rPr>
          <w:rFonts w:eastAsiaTheme="majorEastAsia" w:cs="Calibri"/>
          <w:lang w:bidi="ar-SA"/>
        </w:rPr>
      </w:pPr>
    </w:p>
    <w:p w14:paraId="612F238F" w14:textId="1035A3C6" w:rsidR="003954AD" w:rsidRPr="00631BED" w:rsidRDefault="00B73124" w:rsidP="00E75FE0">
      <w:pPr>
        <w:pStyle w:val="BodyText"/>
        <w:ind w:left="1166"/>
        <w:rPr>
          <w:rFonts w:eastAsiaTheme="majorEastAsia" w:cs="Calibri"/>
          <w:b/>
          <w:bCs/>
          <w:lang w:bidi="ar-SA"/>
        </w:rPr>
      </w:pPr>
      <w:r w:rsidRPr="00631BED">
        <w:rPr>
          <w:rFonts w:eastAsiaTheme="majorEastAsia" w:cs="Calibri"/>
          <w:b/>
          <w:bCs/>
          <w:lang w:bidi="ar-SA"/>
        </w:rPr>
        <w:t>Connectivity</w:t>
      </w:r>
    </w:p>
    <w:p w14:paraId="1289C9B2" w14:textId="51473D12" w:rsidR="00B73124" w:rsidRDefault="00B73124" w:rsidP="00B73124">
      <w:pPr>
        <w:pStyle w:val="BodyText"/>
        <w:ind w:left="1166"/>
        <w:rPr>
          <w:rFonts w:eastAsiaTheme="majorEastAsia" w:cs="Calibri"/>
          <w:lang w:bidi="ar-SA"/>
        </w:rPr>
      </w:pPr>
      <w:r w:rsidRPr="009F5413">
        <w:rPr>
          <w:rFonts w:eastAsiaTheme="majorEastAsia" w:cs="Calibri"/>
          <w:lang w:bidi="ar-SA"/>
        </w:rPr>
        <w:t xml:space="preserve">The area has long evaluated the need and location of a new crossing of the Red River. Various past Metropolitan Transportation Plans/Long Range Transportation Plans have raised the potential for a future river crossing. </w:t>
      </w:r>
      <w:r w:rsidR="00EF2FD3" w:rsidRPr="009F5413">
        <w:rPr>
          <w:rFonts w:eastAsiaTheme="majorEastAsia" w:cs="Calibri"/>
          <w:lang w:bidi="ar-SA"/>
        </w:rPr>
        <w:t xml:space="preserve">Other past MPO </w:t>
      </w:r>
      <w:r w:rsidR="0063020C" w:rsidRPr="009F5413">
        <w:rPr>
          <w:rFonts w:eastAsiaTheme="majorEastAsia" w:cs="Calibri"/>
          <w:lang w:bidi="ar-SA"/>
        </w:rPr>
        <w:t xml:space="preserve">river crossing studies </w:t>
      </w:r>
      <w:proofErr w:type="gramStart"/>
      <w:r w:rsidR="0063020C" w:rsidRPr="009F5413">
        <w:rPr>
          <w:rFonts w:eastAsiaTheme="majorEastAsia" w:cs="Calibri"/>
          <w:lang w:bidi="ar-SA"/>
        </w:rPr>
        <w:t>include,</w:t>
      </w:r>
      <w:proofErr w:type="gramEnd"/>
      <w:r w:rsidR="00060CBA" w:rsidRPr="009F5413">
        <w:rPr>
          <w:rFonts w:eastAsiaTheme="majorEastAsia" w:cs="Calibri"/>
          <w:lang w:bidi="ar-SA"/>
        </w:rPr>
        <w:t xml:space="preserve"> </w:t>
      </w:r>
      <w:r w:rsidR="0073424C" w:rsidRPr="009F5413">
        <w:rPr>
          <w:rFonts w:eastAsiaTheme="majorEastAsia" w:cs="Calibri"/>
          <w:lang w:bidi="ar-SA"/>
        </w:rPr>
        <w:t>t</w:t>
      </w:r>
      <w:r w:rsidR="00060CBA" w:rsidRPr="009F5413">
        <w:rPr>
          <w:rFonts w:eastAsiaTheme="majorEastAsia" w:cs="Calibri"/>
          <w:lang w:bidi="ar-SA"/>
        </w:rPr>
        <w:t>he</w:t>
      </w:r>
      <w:r w:rsidR="00060CBA" w:rsidRPr="009F5413">
        <w:rPr>
          <w:rFonts w:eastAsiaTheme="majorEastAsia" w:cs="Calibri"/>
          <w:i/>
          <w:iCs/>
          <w:lang w:bidi="ar-SA"/>
        </w:rPr>
        <w:t xml:space="preserve"> Future Bridge Traffic Impact Study</w:t>
      </w:r>
      <w:r w:rsidR="00060CBA" w:rsidRPr="009F5413">
        <w:rPr>
          <w:rFonts w:eastAsiaTheme="majorEastAsia" w:cs="Calibri"/>
          <w:lang w:bidi="ar-SA"/>
        </w:rPr>
        <w:t xml:space="preserve"> (2022)</w:t>
      </w:r>
      <w:r w:rsidR="007B71FF" w:rsidRPr="009F5413">
        <w:rPr>
          <w:rFonts w:eastAsiaTheme="majorEastAsia" w:cs="Calibri"/>
          <w:lang w:bidi="ar-SA"/>
        </w:rPr>
        <w:t xml:space="preserve"> and the </w:t>
      </w:r>
      <w:r w:rsidR="007B71FF" w:rsidRPr="009F5413">
        <w:rPr>
          <w:rFonts w:eastAsiaTheme="majorEastAsia" w:cs="Calibri"/>
          <w:i/>
          <w:iCs/>
          <w:lang w:bidi="ar-SA"/>
        </w:rPr>
        <w:t xml:space="preserve">Merrifield Road Red River Bridge </w:t>
      </w:r>
      <w:r w:rsidR="0073424C" w:rsidRPr="009F5413">
        <w:rPr>
          <w:rFonts w:eastAsiaTheme="majorEastAsia" w:cs="Calibri"/>
          <w:i/>
          <w:iCs/>
          <w:lang w:bidi="ar-SA"/>
        </w:rPr>
        <w:t>Feasibility Study</w:t>
      </w:r>
      <w:r w:rsidR="0073424C" w:rsidRPr="009F5413">
        <w:rPr>
          <w:rFonts w:eastAsiaTheme="majorEastAsia" w:cs="Calibri"/>
          <w:lang w:bidi="ar-SA"/>
        </w:rPr>
        <w:t xml:space="preserve"> (2005)</w:t>
      </w:r>
      <w:r w:rsidR="00005234" w:rsidRPr="009F5413">
        <w:rPr>
          <w:rFonts w:eastAsiaTheme="majorEastAsia" w:cs="Calibri"/>
          <w:lang w:bidi="ar-SA"/>
        </w:rPr>
        <w:t>.</w:t>
      </w:r>
      <w:r w:rsidR="00586551" w:rsidRPr="009F5413">
        <w:rPr>
          <w:rFonts w:eastAsiaTheme="majorEastAsia" w:cs="Calibri"/>
          <w:lang w:bidi="ar-SA"/>
        </w:rPr>
        <w:t xml:space="preserve"> Throughout these </w:t>
      </w:r>
      <w:r w:rsidR="002F31AD" w:rsidRPr="009F5413">
        <w:rPr>
          <w:rFonts w:eastAsiaTheme="majorEastAsia" w:cs="Calibri"/>
          <w:lang w:bidi="ar-SA"/>
        </w:rPr>
        <w:t xml:space="preserve">efforts various locations have been identified ranging from </w:t>
      </w:r>
      <w:r w:rsidR="004602DE" w:rsidRPr="009F5413">
        <w:rPr>
          <w:rFonts w:eastAsiaTheme="majorEastAsia" w:cs="Calibri"/>
          <w:lang w:bidi="ar-SA"/>
        </w:rPr>
        <w:t xml:space="preserve">established parts of the central portion of Grand Forks to </w:t>
      </w:r>
      <w:r w:rsidR="003412BC" w:rsidRPr="009F5413">
        <w:rPr>
          <w:rFonts w:eastAsiaTheme="majorEastAsia" w:cs="Calibri"/>
          <w:lang w:bidi="ar-SA"/>
        </w:rPr>
        <w:t xml:space="preserve">currently </w:t>
      </w:r>
      <w:r w:rsidR="004602DE" w:rsidRPr="009F5413">
        <w:rPr>
          <w:rFonts w:eastAsiaTheme="majorEastAsia" w:cs="Calibri"/>
          <w:lang w:bidi="ar-SA"/>
        </w:rPr>
        <w:t>undeve</w:t>
      </w:r>
      <w:r w:rsidR="003412BC" w:rsidRPr="009F5413">
        <w:rPr>
          <w:rFonts w:eastAsiaTheme="majorEastAsia" w:cs="Calibri"/>
          <w:lang w:bidi="ar-SA"/>
        </w:rPr>
        <w:t xml:space="preserve">loped locations south of Grand Forks. </w:t>
      </w:r>
      <w:r w:rsidR="000E5046" w:rsidRPr="009F5413">
        <w:rPr>
          <w:rFonts w:eastAsiaTheme="majorEastAsia" w:cs="Calibri"/>
          <w:lang w:bidi="ar-SA"/>
        </w:rPr>
        <w:t>Generally differing opinions occur between the need and location of a new river crossing</w:t>
      </w:r>
      <w:r w:rsidR="00571B5C" w:rsidRPr="009F5413">
        <w:rPr>
          <w:rFonts w:eastAsiaTheme="majorEastAsia" w:cs="Calibri"/>
          <w:lang w:bidi="ar-SA"/>
        </w:rPr>
        <w:t>, from jurisdictions</w:t>
      </w:r>
      <w:r w:rsidR="00DC48A2" w:rsidRPr="009F5413">
        <w:rPr>
          <w:rFonts w:eastAsiaTheme="majorEastAsia" w:cs="Calibri"/>
          <w:lang w:bidi="ar-SA"/>
        </w:rPr>
        <w:t xml:space="preserve"> and </w:t>
      </w:r>
      <w:r w:rsidR="005766D3" w:rsidRPr="009F5413">
        <w:rPr>
          <w:rFonts w:eastAsiaTheme="majorEastAsia" w:cs="Calibri"/>
          <w:lang w:bidi="ar-SA"/>
        </w:rPr>
        <w:t>residents</w:t>
      </w:r>
      <w:r w:rsidR="00571B5C" w:rsidRPr="009F5413">
        <w:rPr>
          <w:rFonts w:eastAsiaTheme="majorEastAsia" w:cs="Calibri"/>
          <w:lang w:bidi="ar-SA"/>
        </w:rPr>
        <w:t>,</w:t>
      </w:r>
      <w:r w:rsidR="000E5046" w:rsidRPr="009F5413">
        <w:rPr>
          <w:rFonts w:eastAsiaTheme="majorEastAsia" w:cs="Calibri"/>
          <w:lang w:bidi="ar-SA"/>
        </w:rPr>
        <w:t xml:space="preserve"> </w:t>
      </w:r>
      <w:r w:rsidR="00445149" w:rsidRPr="009F5413">
        <w:rPr>
          <w:rFonts w:eastAsiaTheme="majorEastAsia" w:cs="Calibri"/>
          <w:lang w:bidi="ar-SA"/>
        </w:rPr>
        <w:t xml:space="preserve">on either side of the river. </w:t>
      </w:r>
      <w:r w:rsidR="00D846F7" w:rsidRPr="009F5413">
        <w:rPr>
          <w:rFonts w:eastAsiaTheme="majorEastAsia" w:cs="Calibri"/>
          <w:lang w:bidi="ar-SA"/>
        </w:rPr>
        <w:t>As such</w:t>
      </w:r>
      <w:r w:rsidR="007E0937" w:rsidRPr="009F5413">
        <w:rPr>
          <w:rFonts w:eastAsiaTheme="majorEastAsia" w:cs="Calibri"/>
          <w:lang w:bidi="ar-SA"/>
        </w:rPr>
        <w:t>,</w:t>
      </w:r>
      <w:r w:rsidR="00D846F7" w:rsidRPr="009F5413">
        <w:rPr>
          <w:rFonts w:eastAsiaTheme="majorEastAsia" w:cs="Calibri"/>
          <w:lang w:bidi="ar-SA"/>
        </w:rPr>
        <w:t xml:space="preserve"> a </w:t>
      </w:r>
      <w:r w:rsidR="007E0937" w:rsidRPr="009F5413">
        <w:rPr>
          <w:rFonts w:eastAsiaTheme="majorEastAsia" w:cs="Calibri"/>
          <w:lang w:bidi="ar-SA"/>
        </w:rPr>
        <w:t>regionally</w:t>
      </w:r>
      <w:r w:rsidR="00D846F7" w:rsidRPr="009F5413">
        <w:rPr>
          <w:rFonts w:eastAsiaTheme="majorEastAsia" w:cs="Calibri"/>
          <w:lang w:bidi="ar-SA"/>
        </w:rPr>
        <w:t xml:space="preserve"> agreed upon location of a new river crossing has yet to occur.</w:t>
      </w:r>
      <w:r w:rsidR="00D846F7">
        <w:rPr>
          <w:rFonts w:eastAsiaTheme="majorEastAsia" w:cs="Calibri"/>
          <w:lang w:bidi="ar-SA"/>
        </w:rPr>
        <w:t xml:space="preserve"> </w:t>
      </w:r>
    </w:p>
    <w:p w14:paraId="485DD663" w14:textId="77777777" w:rsidR="003954AD" w:rsidRDefault="003954AD" w:rsidP="00DC48A2">
      <w:pPr>
        <w:pStyle w:val="BodyText"/>
        <w:ind w:left="0"/>
        <w:rPr>
          <w:rFonts w:eastAsiaTheme="majorEastAsia" w:cs="Calibri"/>
          <w:u w:val="single"/>
          <w:lang w:bidi="ar-SA"/>
        </w:rPr>
      </w:pPr>
    </w:p>
    <w:p w14:paraId="0D46CA16" w14:textId="68741531" w:rsidR="0038744F" w:rsidRPr="00631BED" w:rsidRDefault="0038744F" w:rsidP="00E75FE0">
      <w:pPr>
        <w:pStyle w:val="BodyText"/>
        <w:ind w:left="1166"/>
        <w:rPr>
          <w:rFonts w:eastAsiaTheme="majorEastAsia" w:cs="Calibri"/>
          <w:b/>
          <w:bCs/>
          <w:lang w:bidi="ar-SA"/>
        </w:rPr>
      </w:pPr>
      <w:r w:rsidRPr="00631BED">
        <w:rPr>
          <w:rFonts w:eastAsiaTheme="majorEastAsia" w:cs="Calibri"/>
          <w:b/>
          <w:bCs/>
          <w:lang w:bidi="ar-SA"/>
        </w:rPr>
        <w:t>Roadway</w:t>
      </w:r>
    </w:p>
    <w:p w14:paraId="318C8386" w14:textId="0540F243" w:rsidR="005B3644" w:rsidRDefault="005B3644" w:rsidP="00E75FE0">
      <w:pPr>
        <w:pStyle w:val="BodyText"/>
        <w:ind w:left="1166"/>
        <w:rPr>
          <w:rFonts w:eastAsiaTheme="majorEastAsia" w:cs="Calibri"/>
          <w:lang w:bidi="ar-SA"/>
        </w:rPr>
      </w:pPr>
      <w:r>
        <w:rPr>
          <w:rFonts w:eastAsiaTheme="majorEastAsia" w:cs="Calibri"/>
          <w:lang w:bidi="ar-SA"/>
        </w:rPr>
        <w:t xml:space="preserve">The areas roadway </w:t>
      </w:r>
      <w:r w:rsidRPr="0033019F">
        <w:rPr>
          <w:rFonts w:eastAsiaTheme="majorEastAsia" w:cs="Calibri"/>
          <w:lang w:bidi="ar-SA"/>
        </w:rPr>
        <w:t xml:space="preserve">network </w:t>
      </w:r>
      <w:proofErr w:type="gramStart"/>
      <w:r w:rsidR="001362CF" w:rsidRPr="0033019F">
        <w:rPr>
          <w:rFonts w:eastAsiaTheme="majorEastAsia" w:cs="Calibri"/>
          <w:lang w:bidi="ar-SA"/>
        </w:rPr>
        <w:t>includes</w:t>
      </w:r>
      <w:r w:rsidR="0033019F" w:rsidRPr="0033019F">
        <w:rPr>
          <w:rFonts w:eastAsiaTheme="majorEastAsia" w:cs="Calibri"/>
          <w:lang w:bidi="ar-SA"/>
        </w:rPr>
        <w:t>:</w:t>
      </w:r>
      <w:proofErr w:type="gramEnd"/>
      <w:r w:rsidRPr="0033019F">
        <w:rPr>
          <w:rFonts w:eastAsiaTheme="majorEastAsia" w:cs="Calibri"/>
          <w:lang w:bidi="ar-SA"/>
        </w:rPr>
        <w:t xml:space="preserve"> interstate</w:t>
      </w:r>
      <w:r w:rsidR="0033019F" w:rsidRPr="0033019F">
        <w:rPr>
          <w:rFonts w:eastAsiaTheme="majorEastAsia" w:cs="Calibri"/>
          <w:lang w:bidi="ar-SA"/>
        </w:rPr>
        <w:t>;</w:t>
      </w:r>
      <w:r w:rsidR="00837D26" w:rsidRPr="0033019F">
        <w:rPr>
          <w:rFonts w:eastAsiaTheme="majorEastAsia" w:cs="Calibri"/>
          <w:lang w:bidi="ar-SA"/>
        </w:rPr>
        <w:t xml:space="preserve"> </w:t>
      </w:r>
      <w:r w:rsidRPr="0033019F">
        <w:rPr>
          <w:rFonts w:eastAsiaTheme="majorEastAsia" w:cs="Calibri"/>
          <w:lang w:bidi="ar-SA"/>
        </w:rPr>
        <w:t>state highway</w:t>
      </w:r>
      <w:r w:rsidR="0033019F" w:rsidRPr="0033019F">
        <w:rPr>
          <w:rFonts w:eastAsiaTheme="majorEastAsia" w:cs="Calibri"/>
          <w:lang w:bidi="ar-SA"/>
        </w:rPr>
        <w:t>;</w:t>
      </w:r>
      <w:r w:rsidR="00837D26" w:rsidRPr="0033019F">
        <w:rPr>
          <w:rFonts w:eastAsiaTheme="majorEastAsia" w:cs="Calibri"/>
          <w:lang w:bidi="ar-SA"/>
        </w:rPr>
        <w:t xml:space="preserve"> arterial</w:t>
      </w:r>
      <w:r w:rsidR="0033019F" w:rsidRPr="0033019F">
        <w:rPr>
          <w:rFonts w:eastAsiaTheme="majorEastAsia" w:cs="Calibri"/>
          <w:lang w:bidi="ar-SA"/>
        </w:rPr>
        <w:t>;</w:t>
      </w:r>
      <w:r w:rsidR="00837D26" w:rsidRPr="0033019F">
        <w:rPr>
          <w:rFonts w:eastAsiaTheme="majorEastAsia" w:cs="Calibri"/>
          <w:lang w:bidi="ar-SA"/>
        </w:rPr>
        <w:t xml:space="preserve"> collector</w:t>
      </w:r>
      <w:r w:rsidR="0033019F" w:rsidRPr="0033019F">
        <w:rPr>
          <w:rFonts w:eastAsiaTheme="majorEastAsia" w:cs="Calibri"/>
          <w:lang w:bidi="ar-SA"/>
        </w:rPr>
        <w:t>;</w:t>
      </w:r>
      <w:r w:rsidR="00837D26" w:rsidRPr="0033019F">
        <w:rPr>
          <w:rFonts w:eastAsiaTheme="majorEastAsia" w:cs="Calibri"/>
          <w:lang w:bidi="ar-SA"/>
        </w:rPr>
        <w:t xml:space="preserve"> and local</w:t>
      </w:r>
      <w:r>
        <w:rPr>
          <w:rFonts w:eastAsiaTheme="majorEastAsia" w:cs="Calibri"/>
          <w:lang w:bidi="ar-SA"/>
        </w:rPr>
        <w:t xml:space="preserve"> systems which provide connectivity to regional, national, and international destinations. </w:t>
      </w:r>
      <w:r w:rsidR="001C344F">
        <w:rPr>
          <w:rFonts w:eastAsiaTheme="majorEastAsia" w:cs="Calibri"/>
          <w:lang w:bidi="ar-SA"/>
        </w:rPr>
        <w:t xml:space="preserve">Roughly </w:t>
      </w:r>
      <w:r w:rsidR="00FA2D4A" w:rsidRPr="00B74067">
        <w:rPr>
          <w:rFonts w:eastAsiaTheme="majorEastAsia" w:cs="Calibri"/>
          <w:lang w:bidi="ar-SA"/>
        </w:rPr>
        <w:t>530</w:t>
      </w:r>
      <w:r w:rsidR="001C344F" w:rsidRPr="00B74067">
        <w:rPr>
          <w:rFonts w:eastAsiaTheme="majorEastAsia" w:cs="Calibri"/>
          <w:lang w:bidi="ar-SA"/>
        </w:rPr>
        <w:t xml:space="preserve"> centerline</w:t>
      </w:r>
      <w:r w:rsidR="001C344F">
        <w:rPr>
          <w:rFonts w:eastAsiaTheme="majorEastAsia" w:cs="Calibri"/>
          <w:lang w:bidi="ar-SA"/>
        </w:rPr>
        <w:t xml:space="preserve"> miles make up the roadway </w:t>
      </w:r>
      <w:r w:rsidR="001C344F" w:rsidRPr="00823BBC">
        <w:rPr>
          <w:rFonts w:eastAsiaTheme="majorEastAsia" w:cs="Calibri"/>
          <w:lang w:bidi="ar-SA"/>
        </w:rPr>
        <w:t>system within the MPO</w:t>
      </w:r>
      <w:r w:rsidR="004124EE" w:rsidRPr="00823BBC">
        <w:rPr>
          <w:rFonts w:eastAsiaTheme="majorEastAsia" w:cs="Calibri"/>
          <w:lang w:bidi="ar-SA"/>
        </w:rPr>
        <w:t>s Urbanized</w:t>
      </w:r>
      <w:r w:rsidR="001C344F" w:rsidRPr="00823BBC">
        <w:rPr>
          <w:rFonts w:eastAsiaTheme="majorEastAsia" w:cs="Calibri"/>
          <w:lang w:bidi="ar-SA"/>
        </w:rPr>
        <w:t xml:space="preserve"> </w:t>
      </w:r>
      <w:r w:rsidR="004124EE" w:rsidRPr="00823BBC">
        <w:rPr>
          <w:rFonts w:eastAsiaTheme="majorEastAsia" w:cs="Calibri"/>
          <w:lang w:bidi="ar-SA"/>
        </w:rPr>
        <w:t>A</w:t>
      </w:r>
      <w:r w:rsidR="001C344F" w:rsidRPr="00823BBC">
        <w:rPr>
          <w:rFonts w:eastAsiaTheme="majorEastAsia" w:cs="Calibri"/>
          <w:lang w:bidi="ar-SA"/>
        </w:rPr>
        <w:t>rea.</w:t>
      </w:r>
      <w:r w:rsidR="00DA3917">
        <w:rPr>
          <w:rFonts w:eastAsiaTheme="majorEastAsia" w:cs="Calibri"/>
          <w:lang w:bidi="ar-SA"/>
        </w:rPr>
        <w:t xml:space="preserve"> </w:t>
      </w:r>
      <w:r w:rsidR="004E572A">
        <w:rPr>
          <w:rFonts w:eastAsiaTheme="majorEastAsia" w:cs="Calibri"/>
          <w:lang w:bidi="ar-SA"/>
        </w:rPr>
        <w:t>In 2024 the MPO worked with the NDDOT and FHWA to update its functionally classified system which resulted in 184 centerline miles of functionally classified roadway</w:t>
      </w:r>
      <w:r w:rsidR="00B74067">
        <w:rPr>
          <w:rFonts w:eastAsiaTheme="majorEastAsia" w:cs="Calibri"/>
          <w:lang w:bidi="ar-SA"/>
        </w:rPr>
        <w:t>.</w:t>
      </w:r>
    </w:p>
    <w:p w14:paraId="52288D56" w14:textId="77777777" w:rsidR="00E75FE0" w:rsidRDefault="00E75FE0" w:rsidP="00E75FE0">
      <w:pPr>
        <w:pStyle w:val="BodyText"/>
        <w:ind w:left="1166"/>
        <w:rPr>
          <w:rFonts w:eastAsiaTheme="majorEastAsia" w:cs="Calibri"/>
          <w:lang w:bidi="ar-SA"/>
        </w:rPr>
      </w:pPr>
    </w:p>
    <w:p w14:paraId="76331A6F" w14:textId="08ECA882" w:rsidR="005C233C" w:rsidRDefault="005251D1" w:rsidP="004E3FA7">
      <w:pPr>
        <w:pStyle w:val="BodyText"/>
        <w:ind w:left="1166"/>
        <w:rPr>
          <w:rFonts w:eastAsiaTheme="majorEastAsia" w:cs="Calibri"/>
          <w:lang w:bidi="ar-SA"/>
        </w:rPr>
      </w:pPr>
      <w:r>
        <w:rPr>
          <w:rFonts w:eastAsiaTheme="majorEastAsia" w:cs="Calibri"/>
          <w:lang w:bidi="ar-SA"/>
        </w:rPr>
        <w:t xml:space="preserve">Numerous freight dependent industries exist </w:t>
      </w:r>
      <w:r w:rsidR="00DD4532">
        <w:rPr>
          <w:rFonts w:eastAsiaTheme="majorEastAsia" w:cs="Calibri"/>
          <w:lang w:bidi="ar-SA"/>
        </w:rPr>
        <w:t xml:space="preserve">with more anticipated for near-term development </w:t>
      </w:r>
      <w:r>
        <w:rPr>
          <w:rFonts w:eastAsiaTheme="majorEastAsia" w:cs="Calibri"/>
          <w:lang w:bidi="ar-SA"/>
        </w:rPr>
        <w:t>within the region, some of which have unique demands on the transportation system.</w:t>
      </w:r>
      <w:r w:rsidR="00D54980">
        <w:rPr>
          <w:rFonts w:eastAsiaTheme="majorEastAsia" w:cs="Calibri"/>
          <w:lang w:bidi="ar-SA"/>
        </w:rPr>
        <w:t xml:space="preserve"> The NDDOT </w:t>
      </w:r>
      <w:r w:rsidR="005A346B">
        <w:rPr>
          <w:rFonts w:eastAsiaTheme="majorEastAsia" w:cs="Calibri"/>
          <w:lang w:bidi="ar-SA"/>
        </w:rPr>
        <w:t>and</w:t>
      </w:r>
      <w:r w:rsidR="004E4BEF">
        <w:rPr>
          <w:rFonts w:eastAsiaTheme="majorEastAsia" w:cs="Calibri"/>
          <w:lang w:bidi="ar-SA"/>
        </w:rPr>
        <w:t xml:space="preserve"> its Strategic </w:t>
      </w:r>
      <w:r w:rsidR="0040617A">
        <w:rPr>
          <w:rFonts w:eastAsiaTheme="majorEastAsia" w:cs="Calibri"/>
          <w:lang w:bidi="ar-SA"/>
        </w:rPr>
        <w:t>Freight System Highway Classification defines Interstate-29 and US Highway 2 as Level 1 freight corridors</w:t>
      </w:r>
      <w:r w:rsidR="00C40F27">
        <w:rPr>
          <w:rFonts w:eastAsiaTheme="majorEastAsia" w:cs="Calibri"/>
          <w:lang w:bidi="ar-SA"/>
        </w:rPr>
        <w:t>,</w:t>
      </w:r>
      <w:r w:rsidR="0040617A">
        <w:rPr>
          <w:rFonts w:eastAsiaTheme="majorEastAsia" w:cs="Calibri"/>
          <w:lang w:bidi="ar-SA"/>
        </w:rPr>
        <w:t xml:space="preserve"> which have the highest demand</w:t>
      </w:r>
      <w:r w:rsidR="00F80692">
        <w:rPr>
          <w:rFonts w:eastAsiaTheme="majorEastAsia" w:cs="Calibri"/>
          <w:lang w:bidi="ar-SA"/>
        </w:rPr>
        <w:t xml:space="preserve"> for freight </w:t>
      </w:r>
      <w:r w:rsidR="007103C0">
        <w:rPr>
          <w:rFonts w:eastAsiaTheme="majorEastAsia" w:cs="Calibri"/>
          <w:lang w:bidi="ar-SA"/>
        </w:rPr>
        <w:t xml:space="preserve">on the </w:t>
      </w:r>
      <w:r w:rsidR="007103C0" w:rsidRPr="00631BED">
        <w:rPr>
          <w:rFonts w:eastAsiaTheme="majorEastAsia" w:cs="Calibri"/>
          <w:lang w:bidi="ar-SA"/>
        </w:rPr>
        <w:t>network</w:t>
      </w:r>
      <w:r w:rsidR="00C40F27" w:rsidRPr="00631BED">
        <w:rPr>
          <w:rFonts w:eastAsiaTheme="majorEastAsia" w:cs="Calibri"/>
          <w:lang w:bidi="ar-SA"/>
        </w:rPr>
        <w:t xml:space="preserve">. </w:t>
      </w:r>
      <w:r w:rsidR="00535D79" w:rsidRPr="00631BED">
        <w:rPr>
          <w:rFonts w:eastAsiaTheme="majorEastAsia" w:cs="Calibri"/>
          <w:lang w:bidi="ar-SA"/>
        </w:rPr>
        <w:t xml:space="preserve">Portions of the Strategic Highway Network are within the MPO area including </w:t>
      </w:r>
      <w:r w:rsidR="004E3FA7" w:rsidRPr="00631BED">
        <w:rPr>
          <w:rFonts w:eastAsiaTheme="majorEastAsia" w:cs="Calibri"/>
          <w:lang w:bidi="ar-SA"/>
        </w:rPr>
        <w:t>I-29 and US Highway 2, linking the City of Grand Forks to the Grand Forks Airport.</w:t>
      </w:r>
      <w:r w:rsidR="004E3FA7">
        <w:rPr>
          <w:rFonts w:eastAsiaTheme="majorEastAsia" w:cs="Calibri"/>
          <w:lang w:bidi="ar-SA"/>
        </w:rPr>
        <w:t xml:space="preserve"> </w:t>
      </w:r>
    </w:p>
    <w:p w14:paraId="6C4A3F92" w14:textId="77777777" w:rsidR="00E75FE0" w:rsidRDefault="00E75FE0" w:rsidP="00E75FE0">
      <w:pPr>
        <w:pStyle w:val="BodyText"/>
        <w:ind w:left="1166"/>
        <w:rPr>
          <w:rFonts w:eastAsiaTheme="majorEastAsia" w:cs="Calibri"/>
          <w:lang w:bidi="ar-SA"/>
        </w:rPr>
      </w:pPr>
    </w:p>
    <w:p w14:paraId="74D19FDF" w14:textId="6A119877" w:rsidR="0038744F" w:rsidRPr="00631BED" w:rsidRDefault="005B3644" w:rsidP="00E75FE0">
      <w:pPr>
        <w:pStyle w:val="BodyText"/>
        <w:ind w:left="1166"/>
        <w:rPr>
          <w:rFonts w:eastAsiaTheme="majorEastAsia" w:cs="Calibri"/>
          <w:b/>
          <w:bCs/>
          <w:lang w:bidi="ar-SA"/>
        </w:rPr>
      </w:pPr>
      <w:r w:rsidRPr="00631BED">
        <w:rPr>
          <w:rFonts w:eastAsiaTheme="majorEastAsia" w:cs="Calibri"/>
          <w:b/>
          <w:bCs/>
          <w:lang w:bidi="ar-SA"/>
        </w:rPr>
        <w:t>Bicycle and Pedestrian</w:t>
      </w:r>
    </w:p>
    <w:p w14:paraId="30C16901" w14:textId="4CDD98E8" w:rsidR="005B3644" w:rsidRDefault="007201C7" w:rsidP="00E75FE0">
      <w:pPr>
        <w:pStyle w:val="BodyText"/>
        <w:ind w:left="1166"/>
        <w:rPr>
          <w:rFonts w:eastAsiaTheme="majorEastAsia" w:cs="Calibri"/>
          <w:lang w:bidi="ar-SA"/>
        </w:rPr>
      </w:pPr>
      <w:r>
        <w:rPr>
          <w:rFonts w:eastAsiaTheme="majorEastAsia" w:cs="Calibri"/>
          <w:lang w:bidi="ar-SA"/>
        </w:rPr>
        <w:t xml:space="preserve">The bicycle and pedestrian system </w:t>
      </w:r>
      <w:proofErr w:type="gramStart"/>
      <w:r>
        <w:rPr>
          <w:rFonts w:eastAsiaTheme="majorEastAsia" w:cs="Calibri"/>
          <w:lang w:bidi="ar-SA"/>
        </w:rPr>
        <w:t>includes</w:t>
      </w:r>
      <w:proofErr w:type="gramEnd"/>
      <w:r>
        <w:rPr>
          <w:rFonts w:eastAsiaTheme="majorEastAsia" w:cs="Calibri"/>
          <w:lang w:bidi="ar-SA"/>
        </w:rPr>
        <w:t xml:space="preserve"> a robust </w:t>
      </w:r>
      <w:r w:rsidR="00D37543">
        <w:rPr>
          <w:rFonts w:eastAsiaTheme="majorEastAsia" w:cs="Calibri"/>
          <w:lang w:bidi="ar-SA"/>
        </w:rPr>
        <w:t xml:space="preserve">network of </w:t>
      </w:r>
      <w:r w:rsidR="005D4023">
        <w:rPr>
          <w:rFonts w:eastAsiaTheme="majorEastAsia" w:cs="Calibri"/>
          <w:lang w:bidi="ar-SA"/>
        </w:rPr>
        <w:t xml:space="preserve">sidewalks, </w:t>
      </w:r>
      <w:r w:rsidR="00712341">
        <w:rPr>
          <w:rFonts w:eastAsiaTheme="majorEastAsia" w:cs="Calibri"/>
          <w:lang w:bidi="ar-SA"/>
        </w:rPr>
        <w:t>multi-modal trails</w:t>
      </w:r>
      <w:r w:rsidR="005D4023">
        <w:rPr>
          <w:rFonts w:eastAsiaTheme="majorEastAsia" w:cs="Calibri"/>
          <w:lang w:bidi="ar-SA"/>
        </w:rPr>
        <w:t>,</w:t>
      </w:r>
      <w:r w:rsidR="00712341">
        <w:rPr>
          <w:rFonts w:eastAsiaTheme="majorEastAsia" w:cs="Calibri"/>
          <w:lang w:bidi="ar-SA"/>
        </w:rPr>
        <w:t xml:space="preserve"> and on-street pavement markings. </w:t>
      </w:r>
      <w:r w:rsidR="007D07D9">
        <w:rPr>
          <w:rFonts w:eastAsiaTheme="majorEastAsia" w:cs="Calibri"/>
          <w:lang w:bidi="ar-SA"/>
        </w:rPr>
        <w:t>A notable bicycle/pedestrian feature within the community is the Greenway</w:t>
      </w:r>
      <w:r w:rsidR="00EC77F4">
        <w:rPr>
          <w:rFonts w:eastAsiaTheme="majorEastAsia" w:cs="Calibri"/>
          <w:lang w:bidi="ar-SA"/>
        </w:rPr>
        <w:t xml:space="preserve">. </w:t>
      </w:r>
      <w:r w:rsidR="00696078">
        <w:rPr>
          <w:rFonts w:eastAsiaTheme="majorEastAsia" w:cs="Calibri"/>
          <w:lang w:bidi="ar-SA"/>
        </w:rPr>
        <w:t>The Greenway was c</w:t>
      </w:r>
      <w:r w:rsidR="00EC77F4">
        <w:rPr>
          <w:rFonts w:eastAsiaTheme="majorEastAsia" w:cs="Calibri"/>
          <w:lang w:bidi="ar-SA"/>
        </w:rPr>
        <w:t xml:space="preserve">onstructed as </w:t>
      </w:r>
      <w:r w:rsidR="004313F6">
        <w:rPr>
          <w:rFonts w:eastAsiaTheme="majorEastAsia" w:cs="Calibri"/>
          <w:lang w:bidi="ar-SA"/>
        </w:rPr>
        <w:t>part of the Grand Forks-East Grand Forks United States Armey Corps of Engineers flood pr</w:t>
      </w:r>
      <w:r w:rsidR="00386F8D">
        <w:rPr>
          <w:rFonts w:eastAsiaTheme="majorEastAsia" w:cs="Calibri"/>
          <w:lang w:bidi="ar-SA"/>
        </w:rPr>
        <w:t xml:space="preserve">otection project </w:t>
      </w:r>
      <w:proofErr w:type="gramStart"/>
      <w:r w:rsidR="00EC77F4">
        <w:rPr>
          <w:rFonts w:eastAsiaTheme="majorEastAsia" w:cs="Calibri"/>
          <w:lang w:bidi="ar-SA"/>
        </w:rPr>
        <w:t>feature</w:t>
      </w:r>
      <w:proofErr w:type="gramEnd"/>
      <w:r w:rsidR="00EC77F4">
        <w:rPr>
          <w:rFonts w:eastAsiaTheme="majorEastAsia" w:cs="Calibri"/>
          <w:lang w:bidi="ar-SA"/>
        </w:rPr>
        <w:t xml:space="preserve"> </w:t>
      </w:r>
      <w:r w:rsidR="00FF37F5">
        <w:rPr>
          <w:rFonts w:eastAsiaTheme="majorEastAsia" w:cs="Calibri"/>
          <w:lang w:bidi="ar-SA"/>
        </w:rPr>
        <w:t xml:space="preserve">and </w:t>
      </w:r>
      <w:r w:rsidR="00EC77F4">
        <w:rPr>
          <w:rFonts w:eastAsiaTheme="majorEastAsia" w:cs="Calibri"/>
          <w:lang w:bidi="ar-SA"/>
        </w:rPr>
        <w:t>it</w:t>
      </w:r>
      <w:r w:rsidR="007D07D9">
        <w:rPr>
          <w:rFonts w:eastAsiaTheme="majorEastAsia" w:cs="Calibri"/>
          <w:lang w:bidi="ar-SA"/>
        </w:rPr>
        <w:t xml:space="preserve"> provides over 20 miles of multi-use trails </w:t>
      </w:r>
      <w:r w:rsidR="00EC77F4">
        <w:rPr>
          <w:rFonts w:eastAsiaTheme="majorEastAsia" w:cs="Calibri"/>
          <w:lang w:bidi="ar-SA"/>
        </w:rPr>
        <w:t xml:space="preserve">adjacent to the Red and Red Lake Rivers and provides </w:t>
      </w:r>
      <w:r w:rsidR="008D33C7">
        <w:rPr>
          <w:rFonts w:eastAsiaTheme="majorEastAsia" w:cs="Calibri"/>
          <w:lang w:bidi="ar-SA"/>
        </w:rPr>
        <w:t xml:space="preserve">multiple </w:t>
      </w:r>
      <w:r w:rsidR="002E7AEF">
        <w:rPr>
          <w:rFonts w:eastAsiaTheme="majorEastAsia" w:cs="Calibri"/>
          <w:lang w:bidi="ar-SA"/>
        </w:rPr>
        <w:t>non-motorized bridge connectivity across the Red River linking</w:t>
      </w:r>
      <w:r w:rsidR="008D33C7">
        <w:rPr>
          <w:rFonts w:eastAsiaTheme="majorEastAsia" w:cs="Calibri"/>
          <w:lang w:bidi="ar-SA"/>
        </w:rPr>
        <w:t xml:space="preserve"> the cities of</w:t>
      </w:r>
      <w:r w:rsidR="002E7AEF">
        <w:rPr>
          <w:rFonts w:eastAsiaTheme="majorEastAsia" w:cs="Calibri"/>
          <w:lang w:bidi="ar-SA"/>
        </w:rPr>
        <w:t xml:space="preserve"> Grand Forks </w:t>
      </w:r>
      <w:r w:rsidR="008D33C7">
        <w:rPr>
          <w:rFonts w:eastAsiaTheme="majorEastAsia" w:cs="Calibri"/>
          <w:lang w:bidi="ar-SA"/>
        </w:rPr>
        <w:t xml:space="preserve">and East Grand Forks. </w:t>
      </w:r>
    </w:p>
    <w:p w14:paraId="7BA5D3E3" w14:textId="77777777" w:rsidR="00E75FE0" w:rsidRDefault="00E75FE0" w:rsidP="00E75FE0">
      <w:pPr>
        <w:pStyle w:val="BodyText"/>
        <w:ind w:left="1166"/>
        <w:rPr>
          <w:rFonts w:eastAsiaTheme="majorEastAsia" w:cs="Calibri"/>
          <w:lang w:bidi="ar-SA"/>
        </w:rPr>
      </w:pPr>
    </w:p>
    <w:p w14:paraId="6C7DB43E" w14:textId="309B9682" w:rsidR="0090721D" w:rsidRPr="00631BED" w:rsidRDefault="00541ED6" w:rsidP="00E75FE0">
      <w:pPr>
        <w:pStyle w:val="BodyText"/>
        <w:ind w:left="1166"/>
        <w:rPr>
          <w:rFonts w:eastAsiaTheme="majorEastAsia" w:cs="Calibri"/>
          <w:b/>
          <w:bCs/>
          <w:lang w:bidi="ar-SA"/>
        </w:rPr>
      </w:pPr>
      <w:r w:rsidRPr="00631BED">
        <w:rPr>
          <w:rFonts w:eastAsiaTheme="majorEastAsia" w:cs="Calibri"/>
          <w:b/>
          <w:bCs/>
          <w:lang w:bidi="ar-SA"/>
        </w:rPr>
        <w:t>Public/Private Bus Transportation</w:t>
      </w:r>
    </w:p>
    <w:p w14:paraId="31D4E18F" w14:textId="56874760" w:rsidR="00541ED6" w:rsidRDefault="00306F59" w:rsidP="00E75FE0">
      <w:pPr>
        <w:pStyle w:val="BodyText"/>
        <w:ind w:left="1166"/>
        <w:rPr>
          <w:rFonts w:eastAsiaTheme="majorEastAsia" w:cs="Calibri"/>
          <w:lang w:bidi="ar-SA"/>
        </w:rPr>
      </w:pPr>
      <w:r>
        <w:rPr>
          <w:rFonts w:eastAsiaTheme="majorEastAsia" w:cs="Calibri"/>
          <w:lang w:bidi="ar-SA"/>
        </w:rPr>
        <w:t>Public transportation services are provided by Cities Area Transportation (CAT)</w:t>
      </w:r>
      <w:r w:rsidR="00EB3641">
        <w:rPr>
          <w:rFonts w:eastAsiaTheme="majorEastAsia" w:cs="Calibri"/>
          <w:lang w:bidi="ar-SA"/>
        </w:rPr>
        <w:t xml:space="preserve">, offering fixed route and paratransit services to the cities of Grand Forks and East Grand Forks. </w:t>
      </w:r>
      <w:r w:rsidR="003E69F6">
        <w:rPr>
          <w:rFonts w:eastAsiaTheme="majorEastAsia" w:cs="Calibri"/>
          <w:lang w:bidi="ar-SA"/>
        </w:rPr>
        <w:t xml:space="preserve">The system </w:t>
      </w:r>
      <w:r w:rsidR="003E69F6">
        <w:rPr>
          <w:rFonts w:eastAsiaTheme="majorEastAsia" w:cs="Calibri"/>
          <w:lang w:bidi="ar-SA"/>
        </w:rPr>
        <w:lastRenderedPageBreak/>
        <w:t xml:space="preserve">operates Monday-Saturday with weekday service from 6am-10pm and </w:t>
      </w:r>
      <w:r w:rsidR="000E01C5">
        <w:rPr>
          <w:rFonts w:eastAsiaTheme="majorEastAsia" w:cs="Calibri"/>
          <w:lang w:bidi="ar-SA"/>
        </w:rPr>
        <w:t xml:space="preserve">Saturdays from 8am-10pm. </w:t>
      </w:r>
    </w:p>
    <w:p w14:paraId="188AF04F" w14:textId="2AC994D7" w:rsidR="003179E0" w:rsidRDefault="003179E0" w:rsidP="00E75FE0">
      <w:pPr>
        <w:pStyle w:val="BodyText"/>
        <w:ind w:left="1166"/>
        <w:rPr>
          <w:rFonts w:eastAsiaTheme="majorEastAsia" w:cs="Calibri"/>
          <w:lang w:bidi="ar-SA"/>
        </w:rPr>
      </w:pPr>
      <w:r>
        <w:rPr>
          <w:rFonts w:eastAsiaTheme="majorEastAsia" w:cs="Calibri"/>
          <w:lang w:bidi="ar-SA"/>
        </w:rPr>
        <w:t xml:space="preserve">Jefferson Lines provides regional intercity bus service to the area. </w:t>
      </w:r>
    </w:p>
    <w:p w14:paraId="138CDDDD" w14:textId="77777777" w:rsidR="00057BA4" w:rsidRDefault="00057BA4" w:rsidP="00631BED">
      <w:pPr>
        <w:pStyle w:val="BodyText"/>
        <w:ind w:left="0"/>
        <w:rPr>
          <w:rFonts w:eastAsiaTheme="majorEastAsia" w:cs="Calibri"/>
          <w:u w:val="single"/>
          <w:lang w:bidi="ar-SA"/>
        </w:rPr>
      </w:pPr>
    </w:p>
    <w:p w14:paraId="15F0B949" w14:textId="122AEB2D" w:rsidR="003C74DD" w:rsidRPr="00631BED" w:rsidRDefault="003C74DD" w:rsidP="00E75FE0">
      <w:pPr>
        <w:pStyle w:val="BodyText"/>
        <w:ind w:left="1166"/>
        <w:rPr>
          <w:rFonts w:eastAsiaTheme="majorEastAsia" w:cs="Calibri"/>
          <w:b/>
          <w:bCs/>
          <w:lang w:bidi="ar-SA"/>
        </w:rPr>
      </w:pPr>
      <w:r w:rsidRPr="00631BED">
        <w:rPr>
          <w:rFonts w:eastAsiaTheme="majorEastAsia" w:cs="Calibri"/>
          <w:b/>
          <w:bCs/>
          <w:lang w:bidi="ar-SA"/>
        </w:rPr>
        <w:t>Air Service</w:t>
      </w:r>
    </w:p>
    <w:p w14:paraId="73E60BAB" w14:textId="5A2FA851" w:rsidR="003C74DD" w:rsidRDefault="00F436D0" w:rsidP="00E75FE0">
      <w:pPr>
        <w:pStyle w:val="BodyText"/>
        <w:ind w:left="1166"/>
        <w:rPr>
          <w:rFonts w:eastAsiaTheme="majorEastAsia" w:cs="Calibri"/>
          <w:lang w:bidi="ar-SA"/>
        </w:rPr>
      </w:pPr>
      <w:r>
        <w:rPr>
          <w:rFonts w:eastAsiaTheme="majorEastAsia" w:cs="Calibri"/>
          <w:lang w:bidi="ar-SA"/>
        </w:rPr>
        <w:t xml:space="preserve">Grand Forks International Airport </w:t>
      </w:r>
      <w:r w:rsidR="003A4A7B">
        <w:rPr>
          <w:rFonts w:eastAsiaTheme="majorEastAsia" w:cs="Calibri"/>
          <w:lang w:bidi="ar-SA"/>
        </w:rPr>
        <w:t xml:space="preserve">is also located within the MPO area providing passenger service </w:t>
      </w:r>
      <w:r w:rsidR="00FC5C70">
        <w:rPr>
          <w:rFonts w:eastAsiaTheme="majorEastAsia" w:cs="Calibri"/>
          <w:lang w:bidi="ar-SA"/>
        </w:rPr>
        <w:t xml:space="preserve">to regional hubs. </w:t>
      </w:r>
      <w:r w:rsidR="004B0D41">
        <w:rPr>
          <w:rFonts w:eastAsiaTheme="majorEastAsia" w:cs="Calibri"/>
          <w:lang w:bidi="ar-SA"/>
        </w:rPr>
        <w:t xml:space="preserve">It is </w:t>
      </w:r>
      <w:r w:rsidR="00DA7D9D">
        <w:rPr>
          <w:rFonts w:eastAsiaTheme="majorEastAsia" w:cs="Calibri"/>
          <w:lang w:bidi="ar-SA"/>
        </w:rPr>
        <w:t xml:space="preserve">often ranked as one of the </w:t>
      </w:r>
      <w:r w:rsidR="00453E2B">
        <w:rPr>
          <w:rFonts w:eastAsiaTheme="majorEastAsia" w:cs="Calibri"/>
          <w:lang w:bidi="ar-SA"/>
        </w:rPr>
        <w:t>countr</w:t>
      </w:r>
      <w:r w:rsidR="004A44DD">
        <w:rPr>
          <w:rFonts w:eastAsiaTheme="majorEastAsia" w:cs="Calibri"/>
          <w:lang w:bidi="ar-SA"/>
        </w:rPr>
        <w:t>y’s</w:t>
      </w:r>
      <w:r w:rsidR="00453E2B">
        <w:rPr>
          <w:rFonts w:eastAsiaTheme="majorEastAsia" w:cs="Calibri"/>
          <w:lang w:bidi="ar-SA"/>
        </w:rPr>
        <w:t xml:space="preserve"> busiest airports by flight operations, mostly attributed to the University of North Dakota </w:t>
      </w:r>
      <w:r w:rsidR="004A44DD">
        <w:rPr>
          <w:rFonts w:eastAsiaTheme="majorEastAsia" w:cs="Calibri"/>
          <w:lang w:bidi="ar-SA"/>
        </w:rPr>
        <w:t>Aviation</w:t>
      </w:r>
      <w:r w:rsidR="00453E2B">
        <w:rPr>
          <w:rFonts w:eastAsiaTheme="majorEastAsia" w:cs="Calibri"/>
          <w:lang w:bidi="ar-SA"/>
        </w:rPr>
        <w:t xml:space="preserve"> </w:t>
      </w:r>
      <w:r w:rsidR="004A44DD">
        <w:rPr>
          <w:rFonts w:eastAsiaTheme="majorEastAsia" w:cs="Calibri"/>
          <w:lang w:bidi="ar-SA"/>
        </w:rPr>
        <w:t xml:space="preserve">education </w:t>
      </w:r>
      <w:r w:rsidR="00453E2B">
        <w:rPr>
          <w:rFonts w:eastAsiaTheme="majorEastAsia" w:cs="Calibri"/>
          <w:lang w:bidi="ar-SA"/>
        </w:rPr>
        <w:t>program.</w:t>
      </w:r>
      <w:r w:rsidR="004B0D41">
        <w:rPr>
          <w:rFonts w:eastAsiaTheme="majorEastAsia" w:cs="Calibri"/>
          <w:lang w:bidi="ar-SA"/>
        </w:rPr>
        <w:t xml:space="preserve"> </w:t>
      </w:r>
    </w:p>
    <w:p w14:paraId="1EA86A7D" w14:textId="77777777" w:rsidR="00E75FE0" w:rsidRDefault="00E75FE0" w:rsidP="00E75FE0">
      <w:pPr>
        <w:pStyle w:val="BodyText"/>
        <w:ind w:left="1166"/>
        <w:rPr>
          <w:rFonts w:eastAsiaTheme="majorEastAsia" w:cs="Calibri"/>
          <w:lang w:bidi="ar-SA"/>
        </w:rPr>
      </w:pPr>
    </w:p>
    <w:p w14:paraId="61B15FE1" w14:textId="5677BAEB" w:rsidR="003179E0" w:rsidRPr="00631BED" w:rsidRDefault="003179E0" w:rsidP="00E75FE0">
      <w:pPr>
        <w:pStyle w:val="BodyText"/>
        <w:ind w:left="1166"/>
        <w:rPr>
          <w:rFonts w:eastAsiaTheme="majorEastAsia" w:cs="Calibri"/>
          <w:b/>
          <w:bCs/>
          <w:lang w:bidi="ar-SA"/>
        </w:rPr>
      </w:pPr>
      <w:r w:rsidRPr="00631BED">
        <w:rPr>
          <w:rFonts w:eastAsiaTheme="majorEastAsia" w:cs="Calibri"/>
          <w:b/>
          <w:bCs/>
          <w:lang w:bidi="ar-SA"/>
        </w:rPr>
        <w:t>Rail Service</w:t>
      </w:r>
    </w:p>
    <w:p w14:paraId="2F77BCDB" w14:textId="78D4CAE3" w:rsidR="003179E0" w:rsidRDefault="003179E0" w:rsidP="00E75FE0">
      <w:pPr>
        <w:pStyle w:val="BodyText"/>
        <w:ind w:left="1166"/>
        <w:rPr>
          <w:rFonts w:eastAsiaTheme="majorEastAsia" w:cs="Calibri"/>
          <w:lang w:bidi="ar-SA"/>
        </w:rPr>
      </w:pPr>
      <w:r>
        <w:rPr>
          <w:rFonts w:eastAsiaTheme="majorEastAsia" w:cs="Calibri"/>
          <w:lang w:bidi="ar-SA"/>
        </w:rPr>
        <w:t>Amtrak rail also provides passenger service to the region with a station in Grand Forks. The BNSF Railway provides rail freight service to the region with rail networks bisecting the communities.</w:t>
      </w:r>
    </w:p>
    <w:p w14:paraId="1F8D5914" w14:textId="77777777" w:rsidR="00E75FE0" w:rsidRDefault="00E75FE0" w:rsidP="00E75FE0">
      <w:pPr>
        <w:pStyle w:val="BodyText"/>
        <w:ind w:left="1166"/>
        <w:rPr>
          <w:rFonts w:eastAsiaTheme="majorEastAsia" w:cs="Calibri"/>
          <w:lang w:bidi="ar-SA"/>
        </w:rPr>
      </w:pPr>
    </w:p>
    <w:p w14:paraId="6050712A" w14:textId="527A5162" w:rsidR="00AB0FCD" w:rsidRPr="00631BED" w:rsidRDefault="00FB629B" w:rsidP="00E75FE0">
      <w:pPr>
        <w:pStyle w:val="BodyText"/>
        <w:ind w:left="1166"/>
        <w:rPr>
          <w:rFonts w:eastAsiaTheme="majorEastAsia" w:cs="Calibri"/>
          <w:b/>
          <w:bCs/>
          <w:lang w:bidi="ar-SA"/>
        </w:rPr>
      </w:pPr>
      <w:r w:rsidRPr="00631BED">
        <w:rPr>
          <w:rFonts w:eastAsiaTheme="majorEastAsia" w:cs="Calibri"/>
          <w:b/>
          <w:bCs/>
          <w:lang w:bidi="ar-SA"/>
        </w:rPr>
        <w:t xml:space="preserve">Unique Area Characteristics </w:t>
      </w:r>
    </w:p>
    <w:p w14:paraId="4ED2F324" w14:textId="6B5C4732" w:rsidR="003C74DD" w:rsidRDefault="003179E0" w:rsidP="00E75FE0">
      <w:pPr>
        <w:pStyle w:val="BodyText"/>
        <w:ind w:left="1166"/>
        <w:rPr>
          <w:rFonts w:eastAsiaTheme="majorEastAsia" w:cs="Calibri"/>
          <w:lang w:bidi="ar-SA"/>
        </w:rPr>
      </w:pPr>
      <w:r>
        <w:rPr>
          <w:rFonts w:eastAsiaTheme="majorEastAsia" w:cs="Calibri"/>
          <w:lang w:bidi="ar-SA"/>
        </w:rPr>
        <w:t>T</w:t>
      </w:r>
      <w:r w:rsidR="003C74DD">
        <w:rPr>
          <w:rFonts w:eastAsiaTheme="majorEastAsia" w:cs="Calibri"/>
          <w:lang w:bidi="ar-SA"/>
        </w:rPr>
        <w:t xml:space="preserve">he University of North Dakota </w:t>
      </w:r>
      <w:proofErr w:type="gramStart"/>
      <w:r w:rsidR="003C74DD">
        <w:rPr>
          <w:rFonts w:eastAsiaTheme="majorEastAsia" w:cs="Calibri"/>
          <w:lang w:bidi="ar-SA"/>
        </w:rPr>
        <w:t>is located in</w:t>
      </w:r>
      <w:proofErr w:type="gramEnd"/>
      <w:r w:rsidR="003C74DD">
        <w:rPr>
          <w:rFonts w:eastAsiaTheme="majorEastAsia" w:cs="Calibri"/>
          <w:lang w:bidi="ar-SA"/>
        </w:rPr>
        <w:t xml:space="preserve"> Grand Forks and is</w:t>
      </w:r>
      <w:r w:rsidR="004841BB">
        <w:rPr>
          <w:rFonts w:eastAsiaTheme="majorEastAsia" w:cs="Calibri"/>
          <w:lang w:bidi="ar-SA"/>
        </w:rPr>
        <w:t xml:space="preserve"> North Dakota’s Flagship University and is</w:t>
      </w:r>
      <w:r w:rsidR="003C74DD">
        <w:rPr>
          <w:rFonts w:eastAsiaTheme="majorEastAsia" w:cs="Calibri"/>
          <w:lang w:bidi="ar-SA"/>
        </w:rPr>
        <w:t xml:space="preserve"> a major regional university with its students and faculty requiring multimodal transportation options to access the campus. </w:t>
      </w:r>
    </w:p>
    <w:p w14:paraId="5E119012" w14:textId="77777777" w:rsidR="004841BB" w:rsidRDefault="004841BB" w:rsidP="00E75FE0">
      <w:pPr>
        <w:pStyle w:val="BodyText"/>
        <w:ind w:left="1166"/>
        <w:rPr>
          <w:rFonts w:eastAsiaTheme="majorEastAsia" w:cs="Calibri"/>
          <w:lang w:bidi="ar-SA"/>
        </w:rPr>
      </w:pPr>
    </w:p>
    <w:p w14:paraId="0DC69CB3" w14:textId="12344FC5" w:rsidR="003C74DD" w:rsidRDefault="003C74DD" w:rsidP="00E75FE0">
      <w:pPr>
        <w:pStyle w:val="BodyText"/>
        <w:ind w:left="1166"/>
        <w:rPr>
          <w:rFonts w:eastAsiaTheme="majorEastAsia" w:cs="Calibri"/>
          <w:lang w:bidi="ar-SA"/>
        </w:rPr>
      </w:pPr>
      <w:r>
        <w:rPr>
          <w:rFonts w:eastAsiaTheme="majorEastAsia" w:cs="Calibri"/>
          <w:lang w:bidi="ar-SA"/>
        </w:rPr>
        <w:t xml:space="preserve">Although located outside of the MPO area the Grand Forks Airforce Base also provides significant employment opportunities and has its own transportation demands in the region. </w:t>
      </w:r>
    </w:p>
    <w:p w14:paraId="177632BB" w14:textId="20105377" w:rsidR="003C74DD" w:rsidRDefault="003C74DD" w:rsidP="00E75FE0">
      <w:pPr>
        <w:pStyle w:val="BodyText"/>
        <w:ind w:left="1166"/>
        <w:rPr>
          <w:rFonts w:eastAsiaTheme="majorEastAsia" w:cs="Calibri"/>
          <w:lang w:bidi="ar-SA"/>
        </w:rPr>
      </w:pPr>
      <w:r>
        <w:rPr>
          <w:rFonts w:eastAsiaTheme="majorEastAsia" w:cs="Calibri"/>
          <w:lang w:bidi="ar-SA"/>
        </w:rPr>
        <w:t>Multi-modal connectivity from a freight and passenger perspective h</w:t>
      </w:r>
      <w:r w:rsidR="00395398">
        <w:rPr>
          <w:rFonts w:eastAsiaTheme="majorEastAsia" w:cs="Calibri"/>
          <w:lang w:bidi="ar-SA"/>
        </w:rPr>
        <w:t>as</w:t>
      </w:r>
      <w:r>
        <w:rPr>
          <w:rFonts w:eastAsiaTheme="majorEastAsia" w:cs="Calibri"/>
          <w:lang w:bidi="ar-SA"/>
        </w:rPr>
        <w:t xml:space="preserve"> been and will continue to be an important consideration to the area. The existing local transportation networks of the region are fairly unincumbered by topographical constraints and generally provide a grided/connected system. However, various human (Interstate/State highways and rail lines) and natural (rivers/coulees) create barriers to the larger multi-modal transportation networks.</w:t>
      </w:r>
    </w:p>
    <w:p w14:paraId="2EBD95A9" w14:textId="77777777" w:rsidR="00E75FE0" w:rsidRDefault="00E75FE0" w:rsidP="00E75FE0">
      <w:pPr>
        <w:pStyle w:val="BodyText"/>
        <w:ind w:left="1166"/>
        <w:rPr>
          <w:rFonts w:eastAsiaTheme="majorEastAsia" w:cs="Calibri"/>
          <w:lang w:bidi="ar-SA"/>
        </w:rPr>
      </w:pPr>
    </w:p>
    <w:p w14:paraId="0FB912F1" w14:textId="025A50DE" w:rsidR="00B63637" w:rsidRPr="00631BED" w:rsidRDefault="00B63637" w:rsidP="00E75FE0">
      <w:pPr>
        <w:pStyle w:val="BodyText"/>
        <w:ind w:left="1166"/>
        <w:rPr>
          <w:rFonts w:eastAsiaTheme="majorEastAsia" w:cs="Calibri"/>
          <w:b/>
          <w:bCs/>
          <w:lang w:bidi="ar-SA"/>
        </w:rPr>
      </w:pPr>
      <w:r w:rsidRPr="00631BED">
        <w:rPr>
          <w:rFonts w:eastAsiaTheme="majorEastAsia" w:cs="Calibri"/>
          <w:b/>
          <w:bCs/>
          <w:lang w:bidi="ar-SA"/>
        </w:rPr>
        <w:t>Recent Changes</w:t>
      </w:r>
    </w:p>
    <w:p w14:paraId="0B1FA9A5" w14:textId="20C7FBB8" w:rsidR="00FB629B" w:rsidRDefault="00101A47" w:rsidP="00E75FE0">
      <w:pPr>
        <w:pStyle w:val="BodyText"/>
        <w:ind w:left="1166"/>
        <w:rPr>
          <w:rFonts w:eastAsiaTheme="majorEastAsia" w:cs="Calibri"/>
          <w:lang w:bidi="ar-SA"/>
        </w:rPr>
      </w:pPr>
      <w:r>
        <w:rPr>
          <w:rFonts w:eastAsiaTheme="majorEastAsia" w:cs="Calibri"/>
          <w:lang w:bidi="ar-SA"/>
        </w:rPr>
        <w:t xml:space="preserve">The </w:t>
      </w:r>
      <w:r w:rsidR="002A5899">
        <w:rPr>
          <w:rFonts w:eastAsiaTheme="majorEastAsia" w:cs="Calibri"/>
          <w:lang w:bidi="ar-SA"/>
        </w:rPr>
        <w:t xml:space="preserve">2050 Metropolitan Transportation Plan for the Grand Forks-East Grand Forks MPO area was accepted in January 2024. </w:t>
      </w:r>
      <w:r w:rsidR="007377D2">
        <w:rPr>
          <w:rFonts w:eastAsiaTheme="majorEastAsia" w:cs="Calibri"/>
          <w:lang w:bidi="ar-SA"/>
        </w:rPr>
        <w:t>Since the completion of the plan a variety of</w:t>
      </w:r>
      <w:r w:rsidR="009D11A2">
        <w:rPr>
          <w:rFonts w:eastAsiaTheme="majorEastAsia" w:cs="Calibri"/>
          <w:lang w:bidi="ar-SA"/>
        </w:rPr>
        <w:t xml:space="preserve"> </w:t>
      </w:r>
      <w:r w:rsidR="00C257D5">
        <w:rPr>
          <w:rFonts w:eastAsiaTheme="majorEastAsia" w:cs="Calibri"/>
          <w:lang w:bidi="ar-SA"/>
        </w:rPr>
        <w:t>other local planning and related efforts have been completed</w:t>
      </w:r>
      <w:r w:rsidR="00A0403B">
        <w:rPr>
          <w:rFonts w:eastAsiaTheme="majorEastAsia" w:cs="Calibri"/>
          <w:lang w:bidi="ar-SA"/>
        </w:rPr>
        <w:t xml:space="preserve"> or </w:t>
      </w:r>
      <w:r w:rsidR="00D17959">
        <w:rPr>
          <w:rFonts w:eastAsiaTheme="majorEastAsia" w:cs="Calibri"/>
          <w:lang w:bidi="ar-SA"/>
        </w:rPr>
        <w:t>are</w:t>
      </w:r>
      <w:r w:rsidR="00A0403B">
        <w:rPr>
          <w:rFonts w:eastAsiaTheme="majorEastAsia" w:cs="Calibri"/>
          <w:lang w:bidi="ar-SA"/>
        </w:rPr>
        <w:t xml:space="preserve"> in the process of development</w:t>
      </w:r>
      <w:r w:rsidR="009D11A2">
        <w:rPr>
          <w:rFonts w:eastAsiaTheme="majorEastAsia" w:cs="Calibri"/>
          <w:lang w:bidi="ar-SA"/>
        </w:rPr>
        <w:t xml:space="preserve"> as follows</w:t>
      </w:r>
      <w:r w:rsidR="00C257D5">
        <w:rPr>
          <w:rFonts w:eastAsiaTheme="majorEastAsia" w:cs="Calibri"/>
          <w:lang w:bidi="ar-SA"/>
        </w:rPr>
        <w:t>:</w:t>
      </w:r>
    </w:p>
    <w:p w14:paraId="112D0097" w14:textId="2A751BE5" w:rsidR="00C257D5" w:rsidRDefault="0043141E" w:rsidP="00E75FE0">
      <w:pPr>
        <w:pStyle w:val="BodyText"/>
        <w:numPr>
          <w:ilvl w:val="0"/>
          <w:numId w:val="41"/>
        </w:numPr>
        <w:rPr>
          <w:rFonts w:eastAsiaTheme="majorEastAsia" w:cs="Calibri"/>
          <w:lang w:bidi="ar-SA"/>
        </w:rPr>
      </w:pPr>
      <w:r>
        <w:rPr>
          <w:rFonts w:eastAsiaTheme="majorEastAsia" w:cs="Calibri"/>
          <w:lang w:bidi="ar-SA"/>
        </w:rPr>
        <w:t>The Grand Valley Pedestrian Safety and Mobility Study</w:t>
      </w:r>
    </w:p>
    <w:p w14:paraId="3037C1CC" w14:textId="5F93ECD6" w:rsidR="00F416B3" w:rsidRDefault="00F416B3" w:rsidP="00E75FE0">
      <w:pPr>
        <w:pStyle w:val="BodyText"/>
        <w:numPr>
          <w:ilvl w:val="0"/>
          <w:numId w:val="41"/>
        </w:numPr>
        <w:rPr>
          <w:rFonts w:eastAsiaTheme="majorEastAsia" w:cs="Calibri"/>
          <w:lang w:bidi="ar-SA"/>
        </w:rPr>
      </w:pPr>
      <w:r>
        <w:rPr>
          <w:rFonts w:eastAsiaTheme="majorEastAsia" w:cs="Calibri"/>
          <w:lang w:bidi="ar-SA"/>
        </w:rPr>
        <w:t>Grand Forks-East Grand Forks Regional ITS Architecture Version 5</w:t>
      </w:r>
      <w:r w:rsidR="00A835D8">
        <w:rPr>
          <w:rFonts w:eastAsiaTheme="majorEastAsia" w:cs="Calibri"/>
          <w:lang w:bidi="ar-SA"/>
        </w:rPr>
        <w:t>.0</w:t>
      </w:r>
    </w:p>
    <w:p w14:paraId="7CBC0E02" w14:textId="145377A3" w:rsidR="00A835D8" w:rsidRDefault="00FC3DEE" w:rsidP="00E75FE0">
      <w:pPr>
        <w:pStyle w:val="BodyText"/>
        <w:numPr>
          <w:ilvl w:val="0"/>
          <w:numId w:val="41"/>
        </w:numPr>
        <w:rPr>
          <w:rFonts w:eastAsiaTheme="majorEastAsia" w:cs="Calibri"/>
          <w:lang w:bidi="ar-SA"/>
        </w:rPr>
      </w:pPr>
      <w:r>
        <w:rPr>
          <w:rFonts w:eastAsiaTheme="majorEastAsia" w:cs="Calibri"/>
          <w:lang w:bidi="ar-SA"/>
        </w:rPr>
        <w:t>Safe Streets for All</w:t>
      </w:r>
      <w:r w:rsidR="00494D25">
        <w:rPr>
          <w:rFonts w:eastAsiaTheme="majorEastAsia" w:cs="Calibri"/>
          <w:lang w:bidi="ar-SA"/>
        </w:rPr>
        <w:t xml:space="preserve"> Safety Action Plan</w:t>
      </w:r>
    </w:p>
    <w:p w14:paraId="59E98E66" w14:textId="5398E02D" w:rsidR="00494D25" w:rsidRDefault="00CF047C" w:rsidP="00E75FE0">
      <w:pPr>
        <w:pStyle w:val="BodyText"/>
        <w:numPr>
          <w:ilvl w:val="0"/>
          <w:numId w:val="41"/>
        </w:numPr>
        <w:rPr>
          <w:rFonts w:eastAsiaTheme="majorEastAsia" w:cs="Calibri"/>
          <w:lang w:bidi="ar-SA"/>
        </w:rPr>
      </w:pPr>
      <w:r>
        <w:rPr>
          <w:rFonts w:eastAsiaTheme="majorEastAsia" w:cs="Calibri"/>
          <w:lang w:bidi="ar-SA"/>
        </w:rPr>
        <w:t>Grand Forks-East Grand Forks Microtransit</w:t>
      </w:r>
      <w:r w:rsidR="00782E06">
        <w:rPr>
          <w:rFonts w:eastAsiaTheme="majorEastAsia" w:cs="Calibri"/>
          <w:lang w:bidi="ar-SA"/>
        </w:rPr>
        <w:t xml:space="preserve"> Feasibility, Design, and Implementation Plan</w:t>
      </w:r>
    </w:p>
    <w:p w14:paraId="79F93D4E" w14:textId="102FF9A9" w:rsidR="00782E06" w:rsidRDefault="002C631F" w:rsidP="00E75FE0">
      <w:pPr>
        <w:pStyle w:val="BodyText"/>
        <w:numPr>
          <w:ilvl w:val="0"/>
          <w:numId w:val="41"/>
        </w:numPr>
        <w:rPr>
          <w:rFonts w:eastAsiaTheme="majorEastAsia" w:cs="Calibri"/>
          <w:lang w:bidi="ar-SA"/>
        </w:rPr>
      </w:pPr>
      <w:r>
        <w:rPr>
          <w:rFonts w:eastAsiaTheme="majorEastAsia" w:cs="Calibri"/>
          <w:lang w:bidi="ar-SA"/>
        </w:rPr>
        <w:t>The City of Grand Forks becoming a Certified Blue Zones Community</w:t>
      </w:r>
    </w:p>
    <w:p w14:paraId="7965D252" w14:textId="77777777" w:rsidR="006E205A" w:rsidRDefault="0021056D" w:rsidP="00E75FE0">
      <w:pPr>
        <w:pStyle w:val="BodyText"/>
        <w:numPr>
          <w:ilvl w:val="0"/>
          <w:numId w:val="41"/>
        </w:numPr>
        <w:rPr>
          <w:rFonts w:eastAsiaTheme="majorEastAsia" w:cs="Calibri"/>
          <w:lang w:bidi="ar-SA"/>
        </w:rPr>
      </w:pPr>
      <w:r>
        <w:rPr>
          <w:rFonts w:eastAsiaTheme="majorEastAsia" w:cs="Calibri"/>
          <w:lang w:bidi="ar-SA"/>
        </w:rPr>
        <w:t>The addition of a new large</w:t>
      </w:r>
      <w:r w:rsidR="00A0114A">
        <w:rPr>
          <w:rFonts w:eastAsiaTheme="majorEastAsia" w:cs="Calibri"/>
          <w:lang w:bidi="ar-SA"/>
        </w:rPr>
        <w:t>-</w:t>
      </w:r>
      <w:r>
        <w:rPr>
          <w:rFonts w:eastAsiaTheme="majorEastAsia" w:cs="Calibri"/>
          <w:lang w:bidi="ar-SA"/>
        </w:rPr>
        <w:t>scale potato processing facility to the region</w:t>
      </w:r>
    </w:p>
    <w:p w14:paraId="12D5BDC0" w14:textId="6C1856B3" w:rsidR="008A07B9" w:rsidRDefault="006E205A" w:rsidP="00E75FE0">
      <w:pPr>
        <w:pStyle w:val="BodyText"/>
        <w:numPr>
          <w:ilvl w:val="0"/>
          <w:numId w:val="41"/>
        </w:numPr>
        <w:rPr>
          <w:rFonts w:eastAsiaTheme="majorEastAsia" w:cs="Calibri"/>
          <w:lang w:bidi="ar-SA"/>
        </w:rPr>
      </w:pPr>
      <w:r>
        <w:rPr>
          <w:rFonts w:eastAsiaTheme="majorEastAsia" w:cs="Calibri"/>
          <w:lang w:bidi="ar-SA"/>
        </w:rPr>
        <w:t>Programming</w:t>
      </w:r>
      <w:r w:rsidR="000C491D">
        <w:rPr>
          <w:rFonts w:eastAsiaTheme="majorEastAsia" w:cs="Calibri"/>
          <w:lang w:bidi="ar-SA"/>
        </w:rPr>
        <w:t xml:space="preserve"> of significant transportation projects including </w:t>
      </w:r>
      <w:r w:rsidR="00C92B1E">
        <w:rPr>
          <w:rFonts w:eastAsiaTheme="majorEastAsia" w:cs="Calibri"/>
          <w:lang w:bidi="ar-SA"/>
        </w:rPr>
        <w:t>in the 2026-2029 TIP</w:t>
      </w:r>
    </w:p>
    <w:p w14:paraId="1644C1FB" w14:textId="2F1E821C" w:rsidR="008A07B9" w:rsidRPr="00D80E61" w:rsidRDefault="00D80E61" w:rsidP="00E75FE0">
      <w:pPr>
        <w:pStyle w:val="BodyText"/>
        <w:numPr>
          <w:ilvl w:val="1"/>
          <w:numId w:val="41"/>
        </w:numPr>
        <w:rPr>
          <w:rFonts w:eastAsiaTheme="majorEastAsia" w:cs="Calibri"/>
          <w:lang w:bidi="ar-SA"/>
        </w:rPr>
      </w:pPr>
      <w:r w:rsidRPr="00D80E61">
        <w:rPr>
          <w:rFonts w:eastAsiaTheme="majorEastAsia" w:cs="Calibri"/>
          <w:lang w:bidi="ar-SA"/>
        </w:rPr>
        <w:t>Elements of</w:t>
      </w:r>
      <w:r w:rsidR="00244B15" w:rsidRPr="00D80E61">
        <w:rPr>
          <w:rFonts w:eastAsiaTheme="majorEastAsia" w:cs="Calibri"/>
          <w:lang w:bidi="ar-SA"/>
        </w:rPr>
        <w:t xml:space="preserve"> a</w:t>
      </w:r>
      <w:r w:rsidR="008A07B9" w:rsidRPr="00D80E61">
        <w:rPr>
          <w:rFonts w:eastAsiaTheme="majorEastAsia" w:cs="Calibri"/>
          <w:lang w:bidi="ar-SA"/>
        </w:rPr>
        <w:t xml:space="preserve"> </w:t>
      </w:r>
      <w:r w:rsidR="00387B57" w:rsidRPr="00D80E61">
        <w:rPr>
          <w:rFonts w:eastAsiaTheme="majorEastAsia" w:cs="Calibri"/>
          <w:lang w:bidi="ar-SA"/>
        </w:rPr>
        <w:t>new interstate interchange at 47</w:t>
      </w:r>
      <w:r w:rsidR="00387B57" w:rsidRPr="00D80E61">
        <w:rPr>
          <w:rFonts w:eastAsiaTheme="majorEastAsia" w:cs="Calibri"/>
          <w:vertAlign w:val="superscript"/>
          <w:lang w:bidi="ar-SA"/>
        </w:rPr>
        <w:t>th</w:t>
      </w:r>
      <w:r w:rsidR="00387B57" w:rsidRPr="00D80E61">
        <w:rPr>
          <w:rFonts w:eastAsiaTheme="majorEastAsia" w:cs="Calibri"/>
          <w:lang w:bidi="ar-SA"/>
        </w:rPr>
        <w:t xml:space="preserve"> Avenue South</w:t>
      </w:r>
      <w:r w:rsidR="008B5CB5" w:rsidRPr="00D80E61">
        <w:rPr>
          <w:rFonts w:eastAsiaTheme="majorEastAsia" w:cs="Calibri"/>
          <w:lang w:bidi="ar-SA"/>
        </w:rPr>
        <w:t>/I-29</w:t>
      </w:r>
    </w:p>
    <w:p w14:paraId="79D9A0B4" w14:textId="1144F219" w:rsidR="00371736" w:rsidRDefault="008A07B9" w:rsidP="00E75FE0">
      <w:pPr>
        <w:pStyle w:val="BodyText"/>
        <w:numPr>
          <w:ilvl w:val="1"/>
          <w:numId w:val="41"/>
        </w:numPr>
        <w:rPr>
          <w:rFonts w:eastAsiaTheme="majorEastAsia" w:cs="Calibri"/>
          <w:lang w:bidi="ar-SA"/>
        </w:rPr>
      </w:pPr>
      <w:r>
        <w:rPr>
          <w:rFonts w:eastAsiaTheme="majorEastAsia" w:cs="Calibri"/>
          <w:lang w:bidi="ar-SA"/>
        </w:rPr>
        <w:t xml:space="preserve">A </w:t>
      </w:r>
      <w:r w:rsidR="003D4C46" w:rsidRPr="006E205A">
        <w:rPr>
          <w:rFonts w:eastAsiaTheme="majorEastAsia" w:cs="Calibri"/>
          <w:lang w:bidi="ar-SA"/>
        </w:rPr>
        <w:t xml:space="preserve">grade </w:t>
      </w:r>
      <w:r w:rsidR="004E2B00" w:rsidRPr="006E205A">
        <w:rPr>
          <w:rFonts w:eastAsiaTheme="majorEastAsia" w:cs="Calibri"/>
          <w:lang w:bidi="ar-SA"/>
        </w:rPr>
        <w:t>separa</w:t>
      </w:r>
      <w:r w:rsidR="004E2B00">
        <w:rPr>
          <w:rFonts w:eastAsiaTheme="majorEastAsia" w:cs="Calibri"/>
          <w:lang w:bidi="ar-SA"/>
        </w:rPr>
        <w:t>ted crossing</w:t>
      </w:r>
      <w:r w:rsidR="003D4C46" w:rsidRPr="006E205A">
        <w:rPr>
          <w:rFonts w:eastAsiaTheme="majorEastAsia" w:cs="Calibri"/>
          <w:lang w:bidi="ar-SA"/>
        </w:rPr>
        <w:t xml:space="preserve"> of 42</w:t>
      </w:r>
      <w:r w:rsidR="003D4C46" w:rsidRPr="006E205A">
        <w:rPr>
          <w:rFonts w:eastAsiaTheme="majorEastAsia" w:cs="Calibri"/>
          <w:vertAlign w:val="superscript"/>
          <w:lang w:bidi="ar-SA"/>
        </w:rPr>
        <w:t>nd</w:t>
      </w:r>
      <w:r w:rsidR="003D4C46" w:rsidRPr="006E205A">
        <w:rPr>
          <w:rFonts w:eastAsiaTheme="majorEastAsia" w:cs="Calibri"/>
          <w:lang w:bidi="ar-SA"/>
        </w:rPr>
        <w:t xml:space="preserve"> Street and the BNSF mainline</w:t>
      </w:r>
      <w:r w:rsidR="0058415A" w:rsidRPr="006E205A">
        <w:rPr>
          <w:rFonts w:eastAsiaTheme="majorEastAsia" w:cs="Calibri"/>
          <w:lang w:bidi="ar-SA"/>
        </w:rPr>
        <w:t xml:space="preserve">, both in the City of Grand Forks. </w:t>
      </w:r>
    </w:p>
    <w:p w14:paraId="2610E133" w14:textId="77777777" w:rsidR="0092011B" w:rsidRDefault="008A07B9" w:rsidP="0092011B">
      <w:pPr>
        <w:pStyle w:val="BodyText"/>
        <w:numPr>
          <w:ilvl w:val="1"/>
          <w:numId w:val="41"/>
        </w:numPr>
        <w:rPr>
          <w:rFonts w:eastAsiaTheme="majorEastAsia" w:cs="Calibri"/>
          <w:lang w:bidi="ar-SA"/>
        </w:rPr>
      </w:pPr>
      <w:r>
        <w:rPr>
          <w:rFonts w:eastAsiaTheme="majorEastAsia" w:cs="Calibri"/>
          <w:lang w:bidi="ar-SA"/>
        </w:rPr>
        <w:t xml:space="preserve">Rehabilitation of </w:t>
      </w:r>
      <w:r w:rsidR="00C92B1E">
        <w:rPr>
          <w:rFonts w:eastAsiaTheme="majorEastAsia" w:cs="Calibri"/>
          <w:lang w:bidi="ar-SA"/>
        </w:rPr>
        <w:t>two of the areas three bridge crossings</w:t>
      </w:r>
    </w:p>
    <w:p w14:paraId="5CCBE564" w14:textId="07AEA47C" w:rsidR="009275F6" w:rsidRPr="00631BED" w:rsidRDefault="000A7500" w:rsidP="0092011B">
      <w:pPr>
        <w:pStyle w:val="BodyText"/>
        <w:numPr>
          <w:ilvl w:val="1"/>
          <w:numId w:val="41"/>
        </w:numPr>
        <w:rPr>
          <w:rFonts w:eastAsiaTheme="majorEastAsia" w:cs="Calibri"/>
          <w:lang w:bidi="ar-SA"/>
        </w:rPr>
      </w:pPr>
      <w:r w:rsidRPr="00631BED">
        <w:rPr>
          <w:rFonts w:eastAsiaTheme="majorEastAsia" w:cs="Calibri"/>
          <w:lang w:bidi="ar-SA"/>
        </w:rPr>
        <w:t xml:space="preserve">Reconstruction of </w:t>
      </w:r>
      <w:r w:rsidR="0092011B" w:rsidRPr="00631BED">
        <w:rPr>
          <w:rFonts w:eastAsiaTheme="majorEastAsia" w:cs="Calibri"/>
          <w:lang w:bidi="ar-SA"/>
        </w:rPr>
        <w:t>North Washington St. from 1</w:t>
      </w:r>
      <w:r w:rsidR="0092011B" w:rsidRPr="00631BED">
        <w:rPr>
          <w:rFonts w:eastAsiaTheme="majorEastAsia" w:cs="Calibri"/>
          <w:vertAlign w:val="superscript"/>
          <w:lang w:bidi="ar-SA"/>
        </w:rPr>
        <w:t>st</w:t>
      </w:r>
      <w:r w:rsidR="0092011B" w:rsidRPr="00631BED">
        <w:rPr>
          <w:rFonts w:eastAsiaTheme="majorEastAsia" w:cs="Calibri"/>
          <w:lang w:bidi="ar-SA"/>
        </w:rPr>
        <w:t xml:space="preserve"> Ave N to 8</w:t>
      </w:r>
      <w:r w:rsidR="0092011B" w:rsidRPr="00631BED">
        <w:rPr>
          <w:rFonts w:eastAsiaTheme="majorEastAsia" w:cs="Calibri"/>
          <w:vertAlign w:val="superscript"/>
          <w:lang w:bidi="ar-SA"/>
        </w:rPr>
        <w:t>th</w:t>
      </w:r>
      <w:r w:rsidR="0092011B" w:rsidRPr="00631BED">
        <w:rPr>
          <w:rFonts w:eastAsiaTheme="majorEastAsia" w:cs="Calibri"/>
          <w:lang w:bidi="ar-SA"/>
        </w:rPr>
        <w:t xml:space="preserve"> Ave N</w:t>
      </w:r>
    </w:p>
    <w:p w14:paraId="67602E43" w14:textId="4B9775CE" w:rsidR="004E2B00" w:rsidRDefault="009D0787" w:rsidP="00E75FE0">
      <w:pPr>
        <w:pStyle w:val="BodyText"/>
        <w:numPr>
          <w:ilvl w:val="0"/>
          <w:numId w:val="41"/>
        </w:numPr>
        <w:rPr>
          <w:rFonts w:eastAsiaTheme="majorEastAsia" w:cs="Calibri"/>
          <w:lang w:bidi="ar-SA"/>
        </w:rPr>
      </w:pPr>
      <w:r>
        <w:rPr>
          <w:rFonts w:eastAsiaTheme="majorEastAsia" w:cs="Calibri"/>
          <w:lang w:bidi="ar-SA"/>
        </w:rPr>
        <w:t>North Dakota Department of Transportation</w:t>
      </w:r>
      <w:r w:rsidR="00CF029B">
        <w:rPr>
          <w:rFonts w:eastAsiaTheme="majorEastAsia" w:cs="Calibri"/>
          <w:lang w:bidi="ar-SA"/>
        </w:rPr>
        <w:t xml:space="preserve"> operational and safety</w:t>
      </w:r>
      <w:r>
        <w:rPr>
          <w:rFonts w:eastAsiaTheme="majorEastAsia" w:cs="Calibri"/>
          <w:lang w:bidi="ar-SA"/>
        </w:rPr>
        <w:t xml:space="preserve"> analysis and alternative development of </w:t>
      </w:r>
      <w:r w:rsidR="00284428">
        <w:rPr>
          <w:rFonts w:eastAsiaTheme="majorEastAsia" w:cs="Calibri"/>
          <w:lang w:bidi="ar-SA"/>
        </w:rPr>
        <w:t>the intersection of US Highway 2 and Airport Drive/Grand Forks County Road 5</w:t>
      </w:r>
      <w:r w:rsidR="00DF085C">
        <w:rPr>
          <w:rFonts w:eastAsiaTheme="majorEastAsia" w:cs="Calibri"/>
          <w:lang w:bidi="ar-SA"/>
        </w:rPr>
        <w:t xml:space="preserve"> (under development)</w:t>
      </w:r>
    </w:p>
    <w:p w14:paraId="5DD66F36" w14:textId="35D4EBCE" w:rsidR="00CF029B" w:rsidRDefault="008345B4" w:rsidP="00E75FE0">
      <w:pPr>
        <w:pStyle w:val="BodyText"/>
        <w:numPr>
          <w:ilvl w:val="0"/>
          <w:numId w:val="41"/>
        </w:numPr>
        <w:rPr>
          <w:rFonts w:eastAsiaTheme="majorEastAsia" w:cs="Calibri"/>
          <w:lang w:bidi="ar-SA"/>
        </w:rPr>
      </w:pPr>
      <w:r>
        <w:rPr>
          <w:rFonts w:eastAsiaTheme="majorEastAsia" w:cs="Calibri"/>
          <w:lang w:bidi="ar-SA"/>
        </w:rPr>
        <w:t>University of North Dakota Campus Master Plan update</w:t>
      </w:r>
      <w:r w:rsidR="00DF085C">
        <w:rPr>
          <w:rFonts w:eastAsiaTheme="majorEastAsia" w:cs="Calibri"/>
          <w:lang w:bidi="ar-SA"/>
        </w:rPr>
        <w:t xml:space="preserve"> (under development) </w:t>
      </w:r>
    </w:p>
    <w:p w14:paraId="2BE1C595" w14:textId="26A0304D" w:rsidR="008345B4" w:rsidRDefault="00A51732" w:rsidP="00E75FE0">
      <w:pPr>
        <w:pStyle w:val="BodyText"/>
        <w:numPr>
          <w:ilvl w:val="0"/>
          <w:numId w:val="41"/>
        </w:numPr>
        <w:rPr>
          <w:rFonts w:eastAsiaTheme="majorEastAsia" w:cs="Calibri"/>
          <w:lang w:bidi="ar-SA"/>
        </w:rPr>
      </w:pPr>
      <w:r>
        <w:rPr>
          <w:rFonts w:eastAsiaTheme="majorEastAsia" w:cs="Calibri"/>
          <w:lang w:bidi="ar-SA"/>
        </w:rPr>
        <w:lastRenderedPageBreak/>
        <w:t xml:space="preserve">City of Grand Forks parking ordinance </w:t>
      </w:r>
      <w:r w:rsidR="00D17959">
        <w:rPr>
          <w:rFonts w:eastAsiaTheme="majorEastAsia" w:cs="Calibri"/>
          <w:lang w:bidi="ar-SA"/>
        </w:rPr>
        <w:t>amendment (under development)</w:t>
      </w:r>
    </w:p>
    <w:p w14:paraId="1A3B6928" w14:textId="76B369C2" w:rsidR="009566C6" w:rsidRDefault="009566C6" w:rsidP="00E75FE0">
      <w:pPr>
        <w:pStyle w:val="BodyText"/>
        <w:numPr>
          <w:ilvl w:val="0"/>
          <w:numId w:val="41"/>
        </w:numPr>
        <w:rPr>
          <w:rFonts w:eastAsiaTheme="majorEastAsia" w:cs="Calibri"/>
          <w:lang w:bidi="ar-SA"/>
        </w:rPr>
      </w:pPr>
      <w:r>
        <w:rPr>
          <w:rFonts w:eastAsiaTheme="majorEastAsia" w:cs="Calibri"/>
          <w:lang w:bidi="ar-SA"/>
        </w:rPr>
        <w:t xml:space="preserve">Grand Forks-East Grand Forks MPO </w:t>
      </w:r>
      <w:proofErr w:type="gramStart"/>
      <w:r>
        <w:rPr>
          <w:rFonts w:eastAsiaTheme="majorEastAsia" w:cs="Calibri"/>
          <w:lang w:bidi="ar-SA"/>
        </w:rPr>
        <w:t>socio</w:t>
      </w:r>
      <w:proofErr w:type="gramEnd"/>
      <w:r>
        <w:rPr>
          <w:rFonts w:eastAsiaTheme="majorEastAsia" w:cs="Calibri"/>
          <w:lang w:bidi="ar-SA"/>
        </w:rPr>
        <w:t>-economic update (under development)</w:t>
      </w:r>
    </w:p>
    <w:p w14:paraId="5C299B9F" w14:textId="780D73C7" w:rsidR="009566C6" w:rsidRDefault="009566C6" w:rsidP="00E75FE0">
      <w:pPr>
        <w:pStyle w:val="BodyText"/>
        <w:numPr>
          <w:ilvl w:val="0"/>
          <w:numId w:val="41"/>
        </w:numPr>
        <w:rPr>
          <w:rFonts w:eastAsiaTheme="majorEastAsia" w:cs="Calibri"/>
          <w:lang w:bidi="ar-SA"/>
        </w:rPr>
      </w:pPr>
      <w:r>
        <w:rPr>
          <w:rFonts w:eastAsiaTheme="majorEastAsia" w:cs="Calibri"/>
          <w:lang w:bidi="ar-SA"/>
        </w:rPr>
        <w:t>Grand Forks-</w:t>
      </w:r>
      <w:r w:rsidR="000759AE">
        <w:rPr>
          <w:rFonts w:eastAsiaTheme="majorEastAsia" w:cs="Calibri"/>
          <w:lang w:bidi="ar-SA"/>
        </w:rPr>
        <w:t xml:space="preserve">East Grand Forks MPO travel demand model update (under development) </w:t>
      </w:r>
    </w:p>
    <w:p w14:paraId="308C8C89" w14:textId="5B43BC39" w:rsidR="008D5D09" w:rsidRDefault="00075E69" w:rsidP="00E75FE0">
      <w:pPr>
        <w:pStyle w:val="BodyText"/>
        <w:numPr>
          <w:ilvl w:val="0"/>
          <w:numId w:val="41"/>
        </w:numPr>
        <w:rPr>
          <w:rFonts w:eastAsiaTheme="majorEastAsia" w:cs="Calibri"/>
          <w:lang w:bidi="ar-SA"/>
        </w:rPr>
      </w:pPr>
      <w:r>
        <w:rPr>
          <w:rFonts w:eastAsiaTheme="majorEastAsia" w:cs="Calibri"/>
          <w:lang w:bidi="ar-SA"/>
        </w:rPr>
        <w:t xml:space="preserve">Grand Forks </w:t>
      </w:r>
      <w:r w:rsidR="006E10BD">
        <w:rPr>
          <w:rFonts w:eastAsiaTheme="majorEastAsia" w:cs="Calibri"/>
          <w:lang w:bidi="ar-SA"/>
        </w:rPr>
        <w:t xml:space="preserve">County in Coordination with the United States Department of Defense for a </w:t>
      </w:r>
      <w:r w:rsidR="008D5D09">
        <w:rPr>
          <w:rFonts w:eastAsiaTheme="majorEastAsia" w:cs="Calibri"/>
          <w:lang w:bidi="ar-SA"/>
        </w:rPr>
        <w:t>Grand Forks Airforce Base Compatible Use Study (under development)</w:t>
      </w:r>
    </w:p>
    <w:p w14:paraId="6101C1A3" w14:textId="1DC6C0F3" w:rsidR="002077F2" w:rsidRPr="001D453D" w:rsidRDefault="00ED7AAB" w:rsidP="00E75FE0">
      <w:pPr>
        <w:pStyle w:val="BodyText"/>
        <w:numPr>
          <w:ilvl w:val="0"/>
          <w:numId w:val="41"/>
        </w:numPr>
        <w:rPr>
          <w:rFonts w:eastAsiaTheme="majorEastAsia" w:cs="Calibri"/>
          <w:lang w:bidi="ar-SA"/>
        </w:rPr>
      </w:pPr>
      <w:r>
        <w:rPr>
          <w:rFonts w:eastAsiaTheme="majorEastAsia" w:cs="Calibri"/>
          <w:lang w:bidi="ar-SA"/>
        </w:rPr>
        <w:t>Increased commercial and mixed density residential development along the 42</w:t>
      </w:r>
      <w:r w:rsidRPr="00ED7AAB">
        <w:rPr>
          <w:rFonts w:eastAsiaTheme="majorEastAsia" w:cs="Calibri"/>
          <w:vertAlign w:val="superscript"/>
          <w:lang w:bidi="ar-SA"/>
        </w:rPr>
        <w:t>nd</w:t>
      </w:r>
      <w:r>
        <w:rPr>
          <w:rFonts w:eastAsiaTheme="majorEastAsia" w:cs="Calibri"/>
          <w:lang w:bidi="ar-SA"/>
        </w:rPr>
        <w:t xml:space="preserve"> Street corridor</w:t>
      </w:r>
      <w:r w:rsidR="003B6C0C">
        <w:rPr>
          <w:rFonts w:eastAsiaTheme="majorEastAsia" w:cs="Calibri"/>
          <w:lang w:bidi="ar-SA"/>
        </w:rPr>
        <w:t xml:space="preserve"> (between Demers and 32</w:t>
      </w:r>
      <w:r w:rsidR="003B6C0C" w:rsidRPr="003B6C0C">
        <w:rPr>
          <w:rFonts w:eastAsiaTheme="majorEastAsia" w:cs="Calibri"/>
          <w:vertAlign w:val="superscript"/>
          <w:lang w:bidi="ar-SA"/>
        </w:rPr>
        <w:t>nd</w:t>
      </w:r>
      <w:r w:rsidR="003B6C0C">
        <w:rPr>
          <w:rFonts w:eastAsiaTheme="majorEastAsia" w:cs="Calibri"/>
          <w:lang w:bidi="ar-SA"/>
        </w:rPr>
        <w:t xml:space="preserve"> Avenue S) in Grand Forks </w:t>
      </w:r>
      <w:r w:rsidR="004847D1">
        <w:rPr>
          <w:rFonts w:eastAsiaTheme="majorEastAsia" w:cs="Calibri"/>
          <w:lang w:bidi="ar-SA"/>
        </w:rPr>
        <w:t>(under development)</w:t>
      </w:r>
    </w:p>
    <w:p w14:paraId="79D82704" w14:textId="77777777" w:rsidR="002077F2" w:rsidRPr="006E205A" w:rsidRDefault="002077F2" w:rsidP="002077F2">
      <w:pPr>
        <w:pStyle w:val="BodyText"/>
        <w:ind w:left="1080"/>
        <w:rPr>
          <w:rFonts w:eastAsiaTheme="majorEastAsia" w:cs="Calibri"/>
          <w:lang w:bidi="ar-SA"/>
        </w:rPr>
      </w:pPr>
    </w:p>
    <w:p w14:paraId="612AEF09" w14:textId="61D3A81B" w:rsidR="00F54C5B" w:rsidRPr="00E9673A" w:rsidRDefault="00F54C5B" w:rsidP="007303F0">
      <w:pPr>
        <w:pStyle w:val="Heading2"/>
      </w:pPr>
      <w:r w:rsidRPr="00E9673A">
        <w:t>Scope of Work</w:t>
      </w:r>
    </w:p>
    <w:p w14:paraId="2E060732" w14:textId="0CB1B97F" w:rsidR="006C0679" w:rsidRDefault="006C0679" w:rsidP="006C0679">
      <w:pPr>
        <w:ind w:left="1080"/>
      </w:pPr>
      <w:r w:rsidRPr="006C0679">
        <w:t>Historically, the MPO has established three (3) distinct mod</w:t>
      </w:r>
      <w:r w:rsidR="00A676D2">
        <w:t>a</w:t>
      </w:r>
      <w:r w:rsidRPr="006C0679">
        <w:t xml:space="preserve">l plans including a Street and Highway Plan, Bicycle and Pedestrian Plan, and a Transit Development Plan. A summary document was prepared </w:t>
      </w:r>
      <w:r w:rsidRPr="00AF7FB1">
        <w:t>to tie all</w:t>
      </w:r>
      <w:r w:rsidRPr="006C0679">
        <w:t xml:space="preserve"> the plans together to form the areas Metropolitan Transportation Plan. This effort will use a different and more traditional </w:t>
      </w:r>
      <w:r w:rsidRPr="00AF7FB1">
        <w:t xml:space="preserve">approach </w:t>
      </w:r>
      <w:r w:rsidR="00294CA3" w:rsidRPr="00AF7FB1">
        <w:t>consider</w:t>
      </w:r>
      <w:r w:rsidR="00EF54A9" w:rsidRPr="00AF7FB1">
        <w:t>ing</w:t>
      </w:r>
      <w:r w:rsidRPr="00AF7FB1">
        <w:t xml:space="preserve"> all</w:t>
      </w:r>
      <w:r w:rsidRPr="006C0679">
        <w:t xml:space="preserve"> modes into a single </w:t>
      </w:r>
      <w:r w:rsidR="00CA4CDA">
        <w:t>MTP</w:t>
      </w:r>
      <w:r>
        <w:t xml:space="preserve">. </w:t>
      </w:r>
    </w:p>
    <w:p w14:paraId="1AA8F551" w14:textId="77777777" w:rsidR="00C35AA7" w:rsidRDefault="00C35AA7" w:rsidP="006C0679">
      <w:pPr>
        <w:ind w:left="1080"/>
      </w:pPr>
    </w:p>
    <w:p w14:paraId="1993C9D1" w14:textId="6DEAACE7" w:rsidR="00C35AA7" w:rsidRDefault="00C35AA7" w:rsidP="00E75FE0">
      <w:pPr>
        <w:ind w:left="1080"/>
      </w:pPr>
      <w:r>
        <w:t>The resulting efforts of the Transit</w:t>
      </w:r>
      <w:r w:rsidR="00CA4CDA">
        <w:t xml:space="preserve"> Development Plan (TDP)</w:t>
      </w:r>
      <w:r>
        <w:t xml:space="preserve"> portion of </w:t>
      </w:r>
      <w:proofErr w:type="gramStart"/>
      <w:r w:rsidR="001B3863">
        <w:t>the MTP</w:t>
      </w:r>
      <w:proofErr w:type="gramEnd"/>
      <w:r>
        <w:t xml:space="preserve"> will need to formulate a </w:t>
      </w:r>
      <w:r w:rsidR="00BD3661">
        <w:t>TDP</w:t>
      </w:r>
      <w:r w:rsidR="00F64D07">
        <w:t xml:space="preserve"> that will qualify the region for federal and state transportation funds, specifically but not limited to </w:t>
      </w:r>
      <w:r w:rsidR="004C1CD1">
        <w:t xml:space="preserve">the FTA </w:t>
      </w:r>
      <w:r w:rsidR="00F64D07">
        <w:t>5310</w:t>
      </w:r>
      <w:r w:rsidR="004C1CD1">
        <w:t xml:space="preserve"> funding program</w:t>
      </w:r>
      <w:r w:rsidR="001B3863">
        <w:t>. As such</w:t>
      </w:r>
      <w:r w:rsidR="004C1CD1">
        <w:t xml:space="preserve">, specific </w:t>
      </w:r>
      <w:r w:rsidR="000D7514">
        <w:t xml:space="preserve">scope of work </w:t>
      </w:r>
      <w:r w:rsidR="004C1CD1">
        <w:t xml:space="preserve">elements and differing timeframes will be </w:t>
      </w:r>
      <w:r w:rsidR="000D7514">
        <w:t xml:space="preserve">identified </w:t>
      </w:r>
      <w:r w:rsidR="002F46B3">
        <w:t xml:space="preserve">in addition to the MTP scope of work elements and timeframe, but in </w:t>
      </w:r>
      <w:proofErr w:type="gramStart"/>
      <w:r w:rsidR="002F46B3">
        <w:t>practicality</w:t>
      </w:r>
      <w:proofErr w:type="gramEnd"/>
      <w:r w:rsidR="002F46B3">
        <w:t xml:space="preserve"> </w:t>
      </w:r>
      <w:proofErr w:type="gramStart"/>
      <w:r w:rsidR="002F46B3">
        <w:t>work on</w:t>
      </w:r>
      <w:proofErr w:type="gramEnd"/>
      <w:r w:rsidR="002F46B3">
        <w:t xml:space="preserve"> these efforts can and will likely need to occur simultaneously and in conjunction with one another. </w:t>
      </w:r>
      <w:r w:rsidR="00DB74A4">
        <w:t>The TDP portion of the MTP</w:t>
      </w:r>
      <w:r w:rsidR="00E03CA9">
        <w:t>, specifically the Coordinated Public Trans</w:t>
      </w:r>
      <w:r w:rsidR="00395754">
        <w:t>it-Human Services Transportation Plan portion of the TDP,</w:t>
      </w:r>
      <w:r w:rsidR="00DB74A4">
        <w:t xml:space="preserve"> will need to be completed </w:t>
      </w:r>
      <w:r w:rsidR="00395754" w:rsidRPr="00C13EAE">
        <w:t xml:space="preserve">by December 31, </w:t>
      </w:r>
      <w:proofErr w:type="gramStart"/>
      <w:r w:rsidR="00395754" w:rsidRPr="00C13EAE">
        <w:t>2027</w:t>
      </w:r>
      <w:proofErr w:type="gramEnd"/>
      <w:r w:rsidR="00403587">
        <w:t xml:space="preserve"> to continue </w:t>
      </w:r>
      <w:r w:rsidR="00D850E3">
        <w:t xml:space="preserve">to </w:t>
      </w:r>
      <w:r w:rsidR="007E0BA0">
        <w:t xml:space="preserve">qualify the region for federal and state public transportation funds. </w:t>
      </w:r>
    </w:p>
    <w:p w14:paraId="14C82223" w14:textId="77777777" w:rsidR="00BF3BD0" w:rsidRDefault="00BF3BD0" w:rsidP="006C0679">
      <w:pPr>
        <w:ind w:left="1080"/>
      </w:pPr>
    </w:p>
    <w:p w14:paraId="0CAA6F7E" w14:textId="4F5E4CE4" w:rsidR="00BF3BD0" w:rsidRDefault="00BF3BD0" w:rsidP="006C0679">
      <w:pPr>
        <w:ind w:left="1080"/>
      </w:pPr>
      <w:r>
        <w:t xml:space="preserve">This scope of work will be divided into two (2) overlapping parts, including the overarching MTP and the </w:t>
      </w:r>
      <w:r w:rsidR="00742FFC">
        <w:t>TDP</w:t>
      </w:r>
      <w:r w:rsidR="006310DE">
        <w:t>,</w:t>
      </w:r>
      <w:r w:rsidR="00183777">
        <w:t xml:space="preserve"> which will need to be completed </w:t>
      </w:r>
      <w:r w:rsidR="00183777" w:rsidRPr="00BD1214">
        <w:t xml:space="preserve">by December 31, </w:t>
      </w:r>
      <w:proofErr w:type="gramStart"/>
      <w:r w:rsidR="00183777" w:rsidRPr="00BD1214">
        <w:t>2027</w:t>
      </w:r>
      <w:proofErr w:type="gramEnd"/>
      <w:r w:rsidR="00E83912">
        <w:t xml:space="preserve"> and</w:t>
      </w:r>
      <w:r w:rsidR="00742FFC" w:rsidRPr="00BD1214">
        <w:t xml:space="preserve"> housed within the overarching MTP</w:t>
      </w:r>
      <w:r w:rsidR="00183777" w:rsidRPr="00BD1214">
        <w:t>, which will need to be completed by December 31, 2028.</w:t>
      </w:r>
      <w:r w:rsidR="00183777">
        <w:t xml:space="preserve"> </w:t>
      </w:r>
      <w:r w:rsidR="00324832" w:rsidRPr="00BD1214">
        <w:t xml:space="preserve">The resulting TDP/MTP product will need to result in a document which </w:t>
      </w:r>
      <w:r w:rsidR="007064DD" w:rsidRPr="00BD1214">
        <w:t>meets all related federal, state, and local requirements including but not necessarily limited to</w:t>
      </w:r>
      <w:r w:rsidR="00E83912">
        <w:t xml:space="preserve"> the following</w:t>
      </w:r>
      <w:r w:rsidR="007064DD" w:rsidRPr="00BD1214">
        <w:t xml:space="preserve">: </w:t>
      </w:r>
      <w:r w:rsidR="00467842" w:rsidRPr="00BD1214">
        <w:t xml:space="preserve">United States Code, the Code of Federal Regulation, applicable federal program circulars, </w:t>
      </w:r>
      <w:r w:rsidR="00027AAF" w:rsidRPr="00BD1214">
        <w:t xml:space="preserve">effective Presidential Executive Orders, and state, local, and MPO policies, ordinances, </w:t>
      </w:r>
      <w:r w:rsidR="0043105C" w:rsidRPr="00BD1214">
        <w:t>and bylaws.</w:t>
      </w:r>
      <w:r w:rsidR="0043105C">
        <w:t xml:space="preserve"> </w:t>
      </w:r>
    </w:p>
    <w:p w14:paraId="777CCA4C" w14:textId="77777777" w:rsidR="00183777" w:rsidRDefault="00183777" w:rsidP="006C0679">
      <w:pPr>
        <w:ind w:left="1080"/>
      </w:pPr>
    </w:p>
    <w:p w14:paraId="3B07409A" w14:textId="528C7D05" w:rsidR="00183777" w:rsidRPr="00AF7FB1" w:rsidRDefault="00CA7BDD" w:rsidP="006C0679">
      <w:pPr>
        <w:ind w:left="1080"/>
        <w:rPr>
          <w:b/>
          <w:bCs/>
          <w:sz w:val="28"/>
          <w:szCs w:val="28"/>
        </w:rPr>
      </w:pPr>
      <w:r w:rsidRPr="00AF7FB1">
        <w:rPr>
          <w:b/>
          <w:bCs/>
          <w:sz w:val="28"/>
          <w:szCs w:val="28"/>
        </w:rPr>
        <w:t>TDP Scope of Work</w:t>
      </w:r>
      <w:r w:rsidR="000F5075" w:rsidRPr="00AF7FB1">
        <w:rPr>
          <w:b/>
          <w:bCs/>
          <w:sz w:val="28"/>
          <w:szCs w:val="28"/>
        </w:rPr>
        <w:t xml:space="preserve"> Elements</w:t>
      </w:r>
    </w:p>
    <w:p w14:paraId="05262D8A" w14:textId="77777777" w:rsidR="00CA7BDD" w:rsidRDefault="00CA7BDD" w:rsidP="006C0679">
      <w:pPr>
        <w:ind w:left="1080"/>
      </w:pPr>
    </w:p>
    <w:p w14:paraId="3A4F6827" w14:textId="7FBCF979" w:rsidR="00CA7BDD" w:rsidRPr="001960FC" w:rsidRDefault="00B32E48" w:rsidP="006C0679">
      <w:pPr>
        <w:ind w:left="1080"/>
        <w:rPr>
          <w:b/>
          <w:bCs/>
        </w:rPr>
      </w:pPr>
      <w:r w:rsidRPr="001960FC">
        <w:rPr>
          <w:b/>
          <w:bCs/>
        </w:rPr>
        <w:t>TDP 1 – Project Management</w:t>
      </w:r>
    </w:p>
    <w:p w14:paraId="4A00E27D" w14:textId="0DD16C92" w:rsidR="001960FC" w:rsidRDefault="002C6BE1" w:rsidP="006C0679">
      <w:pPr>
        <w:ind w:left="1080"/>
      </w:pPr>
      <w:r>
        <w:t xml:space="preserve">The </w:t>
      </w:r>
      <w:r w:rsidR="004464D3">
        <w:t>task involves activities required to manage the project including staff, equipment, and documentation</w:t>
      </w:r>
      <w:r w:rsidR="008C72F1">
        <w:t>, which can be combined with overarching</w:t>
      </w:r>
      <w:r w:rsidR="00C677E5">
        <w:t xml:space="preserve"> the MTP overarching project management deliverables</w:t>
      </w:r>
      <w:r w:rsidR="004464D3">
        <w:t xml:space="preserve">. </w:t>
      </w:r>
      <w:r w:rsidR="004D4036" w:rsidRPr="00AA26D6">
        <w:t>Th</w:t>
      </w:r>
      <w:r w:rsidR="00BA13E6">
        <w:t xml:space="preserve">is may also require coordination </w:t>
      </w:r>
      <w:r w:rsidR="004D4036" w:rsidRPr="00AA26D6">
        <w:t xml:space="preserve">with any </w:t>
      </w:r>
      <w:proofErr w:type="gramStart"/>
      <w:r w:rsidR="00BA13E6">
        <w:t xml:space="preserve">involved </w:t>
      </w:r>
      <w:r w:rsidR="004D4036" w:rsidRPr="00AA26D6">
        <w:t>subconsultants</w:t>
      </w:r>
      <w:proofErr w:type="gramEnd"/>
      <w:r w:rsidR="00BA13E6">
        <w:t>.</w:t>
      </w:r>
      <w:r w:rsidR="00AA26D6" w:rsidRPr="00AA26D6">
        <w:t xml:space="preserve"> </w:t>
      </w:r>
      <w:r w:rsidR="00AA26D6">
        <w:t xml:space="preserve">The </w:t>
      </w:r>
      <w:r w:rsidR="005924F1">
        <w:t xml:space="preserve">consultant will identify a project lead from their team to act as the direct point of contact for the MPO project manager. </w:t>
      </w:r>
    </w:p>
    <w:p w14:paraId="4FE883EE" w14:textId="77777777" w:rsidR="00DA340D" w:rsidRDefault="00DA340D" w:rsidP="006C0679">
      <w:pPr>
        <w:ind w:left="1080"/>
      </w:pPr>
    </w:p>
    <w:p w14:paraId="52374EE9" w14:textId="3B360C2A" w:rsidR="00DA340D" w:rsidRDefault="00DA340D" w:rsidP="006C0679">
      <w:pPr>
        <w:ind w:left="1080"/>
      </w:pPr>
      <w:r>
        <w:t xml:space="preserve">The consultant </w:t>
      </w:r>
      <w:r w:rsidR="0043583E">
        <w:t xml:space="preserve">should expect bi-weekly progress meetings with the MPO project manager. </w:t>
      </w:r>
      <w:r w:rsidR="008A174F">
        <w:t>Additionally, the consultant should expect to prepare monthly progress reports, documentation of all travel and expense receipts, and prepare and submit invoices</w:t>
      </w:r>
      <w:r w:rsidR="008D4615">
        <w:t xml:space="preserve"> monthly. The progress reports will </w:t>
      </w:r>
      <w:r w:rsidR="008D4615">
        <w:lastRenderedPageBreak/>
        <w:t xml:space="preserve">be submitted </w:t>
      </w:r>
      <w:r w:rsidR="00772E73">
        <w:t>in time for the MPOs monthly T</w:t>
      </w:r>
      <w:r w:rsidR="00EF54C5">
        <w:t xml:space="preserve">echnical </w:t>
      </w:r>
      <w:r w:rsidR="00772E73">
        <w:t>A</w:t>
      </w:r>
      <w:r w:rsidR="00EF54C5">
        <w:t xml:space="preserve">dvisory </w:t>
      </w:r>
      <w:r w:rsidR="00772E73">
        <w:t>C</w:t>
      </w:r>
      <w:r w:rsidR="00EF54C5">
        <w:t>ommittee (TAC)</w:t>
      </w:r>
      <w:r w:rsidR="00772E73">
        <w:t xml:space="preserve"> and Policy Board meeting agenda packets and at a minimum include:</w:t>
      </w:r>
    </w:p>
    <w:p w14:paraId="2C1CF92A" w14:textId="7BE10728" w:rsidR="00696DE7" w:rsidRDefault="00696DE7" w:rsidP="00696DE7">
      <w:pPr>
        <w:pStyle w:val="ListParagraph"/>
        <w:numPr>
          <w:ilvl w:val="0"/>
          <w:numId w:val="42"/>
        </w:numPr>
      </w:pPr>
      <w:r>
        <w:t>Status of individual tasks/milestones</w:t>
      </w:r>
      <w:r w:rsidR="005A5443">
        <w:t>/activities</w:t>
      </w:r>
    </w:p>
    <w:p w14:paraId="53F2DC42" w14:textId="6C99CA6A" w:rsidR="00696DE7" w:rsidRDefault="00B369EF" w:rsidP="00696DE7">
      <w:pPr>
        <w:pStyle w:val="ListParagraph"/>
        <w:numPr>
          <w:ilvl w:val="0"/>
          <w:numId w:val="42"/>
        </w:numPr>
      </w:pPr>
      <w:r>
        <w:t>Status of scope, schedule, and budget</w:t>
      </w:r>
    </w:p>
    <w:p w14:paraId="43028CA4" w14:textId="4A38B609" w:rsidR="00B369EF" w:rsidRDefault="005A5443" w:rsidP="00696DE7">
      <w:pPr>
        <w:pStyle w:val="ListParagraph"/>
        <w:numPr>
          <w:ilvl w:val="0"/>
          <w:numId w:val="42"/>
        </w:numPr>
      </w:pPr>
      <w:r>
        <w:t>Identification of any potential issues that may impact scope, schedule, or budget</w:t>
      </w:r>
    </w:p>
    <w:p w14:paraId="0168DC9F" w14:textId="6A36F5C8" w:rsidR="00C7661E" w:rsidRDefault="00C7661E" w:rsidP="00C7661E">
      <w:pPr>
        <w:ind w:left="1080"/>
      </w:pPr>
    </w:p>
    <w:p w14:paraId="1AAD409C" w14:textId="0A0199E3" w:rsidR="00C7661E" w:rsidRPr="005C288D" w:rsidRDefault="00C7661E" w:rsidP="00C7661E">
      <w:pPr>
        <w:ind w:left="1080"/>
        <w:rPr>
          <w:b/>
          <w:bCs/>
        </w:rPr>
      </w:pPr>
      <w:r w:rsidRPr="005C288D">
        <w:rPr>
          <w:b/>
          <w:bCs/>
        </w:rPr>
        <w:t>Delivera</w:t>
      </w:r>
      <w:r w:rsidR="00155B4C" w:rsidRPr="005C288D">
        <w:rPr>
          <w:b/>
          <w:bCs/>
        </w:rPr>
        <w:t>b</w:t>
      </w:r>
      <w:r w:rsidRPr="005C288D">
        <w:rPr>
          <w:b/>
          <w:bCs/>
        </w:rPr>
        <w:t>les</w:t>
      </w:r>
      <w:r w:rsidR="008C72F1">
        <w:rPr>
          <w:b/>
          <w:bCs/>
        </w:rPr>
        <w:t xml:space="preserve"> (which can be combined with </w:t>
      </w:r>
      <w:r w:rsidR="00C677E5">
        <w:rPr>
          <w:b/>
          <w:bCs/>
        </w:rPr>
        <w:t xml:space="preserve">the </w:t>
      </w:r>
      <w:r w:rsidR="008C72F1">
        <w:rPr>
          <w:b/>
          <w:bCs/>
        </w:rPr>
        <w:t>MTP overarching Project Management Deliverables</w:t>
      </w:r>
      <w:r w:rsidR="00986B1A">
        <w:rPr>
          <w:b/>
          <w:bCs/>
        </w:rPr>
        <w:t>)</w:t>
      </w:r>
      <w:r w:rsidRPr="005C288D">
        <w:rPr>
          <w:b/>
          <w:bCs/>
        </w:rPr>
        <w:t>:</w:t>
      </w:r>
    </w:p>
    <w:p w14:paraId="08E5B529" w14:textId="362AD779" w:rsidR="00BD1D46" w:rsidRDefault="00BD1D46" w:rsidP="00BD1D46">
      <w:pPr>
        <w:pStyle w:val="ListParagraph"/>
        <w:numPr>
          <w:ilvl w:val="0"/>
          <w:numId w:val="43"/>
        </w:numPr>
      </w:pPr>
      <w:r>
        <w:t>Month</w:t>
      </w:r>
      <w:r w:rsidR="009B756B">
        <w:t>ly progress reports</w:t>
      </w:r>
    </w:p>
    <w:p w14:paraId="1EB0916F" w14:textId="5D594857" w:rsidR="009B756B" w:rsidRDefault="009B756B" w:rsidP="00BD1D46">
      <w:pPr>
        <w:pStyle w:val="ListParagraph"/>
        <w:numPr>
          <w:ilvl w:val="0"/>
          <w:numId w:val="43"/>
        </w:numPr>
      </w:pPr>
      <w:r>
        <w:t xml:space="preserve">Bi-weekly meetings with the MPO project coordinator </w:t>
      </w:r>
    </w:p>
    <w:p w14:paraId="24BCEB81" w14:textId="15EB2005" w:rsidR="00454087" w:rsidRDefault="00454087" w:rsidP="00BD1D46">
      <w:pPr>
        <w:pStyle w:val="ListParagraph"/>
        <w:numPr>
          <w:ilvl w:val="0"/>
          <w:numId w:val="43"/>
        </w:numPr>
      </w:pPr>
      <w:r>
        <w:t xml:space="preserve">Monthly invoices detailing project expenses including but not limited to </w:t>
      </w:r>
      <w:r w:rsidR="005C288D">
        <w:t>project tasks/activities by employee</w:t>
      </w:r>
      <w:r w:rsidR="007729DF">
        <w:t>s</w:t>
      </w:r>
      <w:r w:rsidR="005C288D">
        <w:t xml:space="preserve"> by number of hours</w:t>
      </w:r>
    </w:p>
    <w:p w14:paraId="0206925E" w14:textId="77777777" w:rsidR="00F67F56" w:rsidRDefault="00F67F56" w:rsidP="00DC48A2">
      <w:pPr>
        <w:ind w:left="0"/>
        <w:rPr>
          <w:b/>
          <w:bCs/>
        </w:rPr>
      </w:pPr>
    </w:p>
    <w:p w14:paraId="3DBD2ADE" w14:textId="5D438307" w:rsidR="00C677E5" w:rsidRPr="00A83C8C" w:rsidRDefault="00627D15" w:rsidP="00C677E5">
      <w:pPr>
        <w:ind w:left="1080"/>
        <w:rPr>
          <w:b/>
          <w:bCs/>
        </w:rPr>
      </w:pPr>
      <w:r w:rsidRPr="00A83C8C">
        <w:rPr>
          <w:b/>
          <w:bCs/>
        </w:rPr>
        <w:t xml:space="preserve">TDP </w:t>
      </w:r>
      <w:r w:rsidR="003B37F0">
        <w:rPr>
          <w:b/>
          <w:bCs/>
        </w:rPr>
        <w:t xml:space="preserve">2 - </w:t>
      </w:r>
      <w:r w:rsidR="00A83C8C" w:rsidRPr="00A83C8C">
        <w:rPr>
          <w:b/>
          <w:bCs/>
        </w:rPr>
        <w:t>Project Guidance</w:t>
      </w:r>
    </w:p>
    <w:p w14:paraId="4BC61BE9" w14:textId="48BDF263" w:rsidR="00A83C8C" w:rsidRDefault="00F3795A" w:rsidP="00C677E5">
      <w:pPr>
        <w:ind w:left="1080"/>
      </w:pPr>
      <w:r w:rsidRPr="00AF7FB1">
        <w:t xml:space="preserve">A </w:t>
      </w:r>
      <w:r w:rsidR="00AA5318" w:rsidRPr="00AF7FB1">
        <w:t>public transportation focused</w:t>
      </w:r>
      <w:r w:rsidR="00AA5318">
        <w:t xml:space="preserve"> </w:t>
      </w:r>
      <w:r>
        <w:t>steering committee will be used to guide the development of the TDP</w:t>
      </w:r>
      <w:r w:rsidR="007E071A">
        <w:t xml:space="preserve">. This steering committee may be a subset or include the complete compilation of the overarching MTP steering committee. </w:t>
      </w:r>
      <w:r w:rsidR="003118EE">
        <w:t xml:space="preserve">The purpose of the steering committee </w:t>
      </w:r>
      <w:r w:rsidR="00596333">
        <w:t xml:space="preserve">will be to provide guidance and oversight </w:t>
      </w:r>
      <w:proofErr w:type="gramStart"/>
      <w:r w:rsidR="00596333">
        <w:t>in</w:t>
      </w:r>
      <w:proofErr w:type="gramEnd"/>
      <w:r w:rsidR="00596333">
        <w:t xml:space="preserve"> the development of the plan.</w:t>
      </w:r>
      <w:r w:rsidR="001E507E">
        <w:t xml:space="preserve"> </w:t>
      </w:r>
      <w:r w:rsidR="00DF4910">
        <w:t>Among other direction</w:t>
      </w:r>
      <w:r w:rsidR="007729DF">
        <w:t>s</w:t>
      </w:r>
      <w:r w:rsidR="00DF4910">
        <w:t xml:space="preserve"> provided, t</w:t>
      </w:r>
      <w:r w:rsidR="005B018E">
        <w:t xml:space="preserve">he committee will review </w:t>
      </w:r>
      <w:r w:rsidR="0032241A">
        <w:t xml:space="preserve">and provide guidance to </w:t>
      </w:r>
      <w:r w:rsidR="00675AF7">
        <w:t xml:space="preserve">the </w:t>
      </w:r>
      <w:r w:rsidR="0032241A">
        <w:t xml:space="preserve">components of plan development </w:t>
      </w:r>
      <w:r w:rsidR="00675AF7">
        <w:t xml:space="preserve">prior to draft </w:t>
      </w:r>
      <w:r w:rsidR="00B73A47">
        <w:t xml:space="preserve">and final </w:t>
      </w:r>
      <w:r w:rsidR="00675AF7">
        <w:t>publication</w:t>
      </w:r>
      <w:r w:rsidR="00B73A47">
        <w:t>/</w:t>
      </w:r>
      <w:r w:rsidR="00675AF7">
        <w:t>public release.</w:t>
      </w:r>
      <w:r w:rsidR="00596333">
        <w:t xml:space="preserve"> Roles and </w:t>
      </w:r>
      <w:r w:rsidR="00925E90">
        <w:t>responsibilities</w:t>
      </w:r>
      <w:r w:rsidR="00596333">
        <w:t xml:space="preserve"> will be established early on </w:t>
      </w:r>
      <w:r w:rsidR="00925E90">
        <w:t xml:space="preserve">to </w:t>
      </w:r>
      <w:r w:rsidR="00123861">
        <w:t>set</w:t>
      </w:r>
      <w:r w:rsidR="00925E90">
        <w:t xml:space="preserve"> expectations for the steering committee members. </w:t>
      </w:r>
      <w:r w:rsidR="00A448F9">
        <w:t xml:space="preserve">The MPO staff will assist the consultant in </w:t>
      </w:r>
      <w:r w:rsidR="000A36C8">
        <w:t>membership composition. Meeting frequency should be expected at</w:t>
      </w:r>
      <w:r w:rsidR="005F7A13">
        <w:t xml:space="preserve"> strategic</w:t>
      </w:r>
      <w:r w:rsidR="000A36C8">
        <w:t xml:space="preserve"> milestones </w:t>
      </w:r>
      <w:r w:rsidR="00D64179">
        <w:t>of plan development and at a minimum once every three (3) months</w:t>
      </w:r>
      <w:r w:rsidR="005F7A13">
        <w:t>, however</w:t>
      </w:r>
      <w:r w:rsidR="007729DF">
        <w:t>,</w:t>
      </w:r>
      <w:r w:rsidR="005F7A13">
        <w:t xml:space="preserve"> </w:t>
      </w:r>
      <w:proofErr w:type="gramStart"/>
      <w:r w:rsidR="005F7A13">
        <w:t>could</w:t>
      </w:r>
      <w:proofErr w:type="gramEnd"/>
      <w:r w:rsidR="005F7A13">
        <w:t xml:space="preserve"> occur more frequently </w:t>
      </w:r>
      <w:r w:rsidR="00362EFF">
        <w:t xml:space="preserve">based on available budget and need. </w:t>
      </w:r>
    </w:p>
    <w:p w14:paraId="07598E29" w14:textId="77777777" w:rsidR="00925E90" w:rsidRDefault="00925E90" w:rsidP="00C677E5">
      <w:pPr>
        <w:ind w:left="1080"/>
      </w:pPr>
    </w:p>
    <w:p w14:paraId="10DC9330" w14:textId="019E689A" w:rsidR="00925E90" w:rsidRPr="00883A67" w:rsidRDefault="00925E90" w:rsidP="00C677E5">
      <w:pPr>
        <w:ind w:left="1080"/>
        <w:rPr>
          <w:b/>
          <w:bCs/>
        </w:rPr>
      </w:pPr>
      <w:r w:rsidRPr="00883A67">
        <w:rPr>
          <w:b/>
          <w:bCs/>
        </w:rPr>
        <w:t>Deliverables:</w:t>
      </w:r>
    </w:p>
    <w:p w14:paraId="16581936" w14:textId="74B6089D" w:rsidR="00925E90" w:rsidRDefault="0081764D" w:rsidP="00925E90">
      <w:pPr>
        <w:pStyle w:val="ListParagraph"/>
        <w:numPr>
          <w:ilvl w:val="0"/>
          <w:numId w:val="44"/>
        </w:numPr>
      </w:pPr>
      <w:r>
        <w:t>Suggested membership</w:t>
      </w:r>
    </w:p>
    <w:p w14:paraId="5A86FDE2" w14:textId="62F952FE" w:rsidR="009D538D" w:rsidRDefault="009D538D" w:rsidP="00925E90">
      <w:pPr>
        <w:pStyle w:val="ListParagraph"/>
        <w:numPr>
          <w:ilvl w:val="0"/>
          <w:numId w:val="44"/>
        </w:numPr>
      </w:pPr>
      <w:r>
        <w:t xml:space="preserve">Meeting facilitation </w:t>
      </w:r>
    </w:p>
    <w:p w14:paraId="1448FD56" w14:textId="086A939D" w:rsidR="0081764D" w:rsidRDefault="0081764D" w:rsidP="00220E6E">
      <w:pPr>
        <w:pStyle w:val="ListParagraph"/>
        <w:numPr>
          <w:ilvl w:val="0"/>
          <w:numId w:val="44"/>
        </w:numPr>
      </w:pPr>
      <w:r>
        <w:t>Roles and responsibilities</w:t>
      </w:r>
    </w:p>
    <w:p w14:paraId="5594C1F1" w14:textId="6677FB4C" w:rsidR="00054CEF" w:rsidRDefault="00054CEF" w:rsidP="00220E6E">
      <w:pPr>
        <w:pStyle w:val="ListParagraph"/>
        <w:numPr>
          <w:ilvl w:val="0"/>
          <w:numId w:val="44"/>
        </w:numPr>
      </w:pPr>
      <w:r>
        <w:t xml:space="preserve">Development of materials </w:t>
      </w:r>
      <w:r w:rsidR="009E280F">
        <w:t>presented to members</w:t>
      </w:r>
    </w:p>
    <w:p w14:paraId="5C012C7B" w14:textId="7E1FC352" w:rsidR="009E280F" w:rsidRPr="00AA26D6" w:rsidRDefault="0063195F" w:rsidP="00220E6E">
      <w:pPr>
        <w:pStyle w:val="ListParagraph"/>
        <w:numPr>
          <w:ilvl w:val="0"/>
          <w:numId w:val="44"/>
        </w:numPr>
      </w:pPr>
      <w:r>
        <w:t xml:space="preserve">Documentation of meeting minutes/notes/summaries </w:t>
      </w:r>
    </w:p>
    <w:p w14:paraId="4397B0C3" w14:textId="77777777" w:rsidR="006C0679" w:rsidRDefault="006C0679" w:rsidP="006C0679">
      <w:pPr>
        <w:ind w:left="1080"/>
        <w:rPr>
          <w:highlight w:val="magenta"/>
        </w:rPr>
      </w:pPr>
    </w:p>
    <w:p w14:paraId="0508943E" w14:textId="4055E70F" w:rsidR="000F5075" w:rsidRDefault="000F5075" w:rsidP="006C0679">
      <w:pPr>
        <w:ind w:left="1080"/>
        <w:rPr>
          <w:b/>
          <w:bCs/>
        </w:rPr>
      </w:pPr>
      <w:r w:rsidRPr="00986B1A">
        <w:rPr>
          <w:b/>
          <w:bCs/>
        </w:rPr>
        <w:t>TDP</w:t>
      </w:r>
      <w:r w:rsidR="003B37F0">
        <w:rPr>
          <w:b/>
          <w:bCs/>
        </w:rPr>
        <w:t xml:space="preserve"> </w:t>
      </w:r>
      <w:r w:rsidRPr="00986B1A">
        <w:rPr>
          <w:b/>
          <w:bCs/>
        </w:rPr>
        <w:t>3</w:t>
      </w:r>
      <w:r w:rsidR="003B37F0">
        <w:rPr>
          <w:b/>
          <w:bCs/>
        </w:rPr>
        <w:t xml:space="preserve"> -</w:t>
      </w:r>
      <w:r w:rsidR="0055181C" w:rsidRPr="00986B1A">
        <w:rPr>
          <w:b/>
          <w:bCs/>
        </w:rPr>
        <w:t xml:space="preserve"> Public Engagement</w:t>
      </w:r>
    </w:p>
    <w:p w14:paraId="122026C4" w14:textId="53102B3F" w:rsidR="00986B1A" w:rsidRDefault="00866D3B" w:rsidP="006C0679">
      <w:pPr>
        <w:ind w:left="1080"/>
      </w:pPr>
      <w:r>
        <w:t xml:space="preserve">The </w:t>
      </w:r>
      <w:r w:rsidR="00543AC0">
        <w:t>consultant</w:t>
      </w:r>
      <w:r>
        <w:t xml:space="preserve"> will be </w:t>
      </w:r>
      <w:r w:rsidR="00CB4ED6">
        <w:t xml:space="preserve">required to develop a public engagement plan </w:t>
      </w:r>
      <w:r w:rsidR="00543AC0">
        <w:t>in conjunction</w:t>
      </w:r>
      <w:r w:rsidR="00CB4ED6">
        <w:t xml:space="preserve"> with the MTP as part of </w:t>
      </w:r>
      <w:proofErr w:type="gramStart"/>
      <w:r w:rsidR="00CB4ED6">
        <w:t>the</w:t>
      </w:r>
      <w:r w:rsidR="00543AC0">
        <w:t xml:space="preserve"> overall plan</w:t>
      </w:r>
      <w:proofErr w:type="gramEnd"/>
      <w:r w:rsidR="00543AC0">
        <w:t xml:space="preserve"> development </w:t>
      </w:r>
      <w:r w:rsidR="00630A8B">
        <w:t xml:space="preserve">which </w:t>
      </w:r>
      <w:r w:rsidR="00543AC0">
        <w:t xml:space="preserve">should occur early in the project development process. </w:t>
      </w:r>
      <w:r w:rsidR="0088186D">
        <w:t xml:space="preserve">The public engagement plan will need to be </w:t>
      </w:r>
      <w:r w:rsidR="00237277">
        <w:t xml:space="preserve">consistent with public involvement requirements identified in the </w:t>
      </w:r>
      <w:r w:rsidR="00327073">
        <w:t xml:space="preserve">Forks MPO Public Participation Plan. </w:t>
      </w:r>
      <w:r w:rsidR="001D20D9">
        <w:t>A public engagement process which incorporates a robust</w:t>
      </w:r>
      <w:r w:rsidR="001544CB">
        <w:t xml:space="preserve"> and varied</w:t>
      </w:r>
      <w:r w:rsidR="001D20D9">
        <w:t xml:space="preserve"> </w:t>
      </w:r>
      <w:r w:rsidR="002F2DED">
        <w:t>number</w:t>
      </w:r>
      <w:r w:rsidR="001D20D9">
        <w:t xml:space="preserve"> of </w:t>
      </w:r>
      <w:r w:rsidR="001544CB">
        <w:t xml:space="preserve">opportunities/methods/techniques </w:t>
      </w:r>
      <w:r w:rsidR="000E2AB0">
        <w:t xml:space="preserve">will likely be necessary to obtain meaningful public input. </w:t>
      </w:r>
      <w:r w:rsidR="00DD6821">
        <w:t xml:space="preserve">Combining public involvement processes/opportunities to the extent possible with the overarching MTP public engagement process </w:t>
      </w:r>
      <w:r w:rsidR="0048473B">
        <w:t xml:space="preserve">is encouraged to </w:t>
      </w:r>
      <w:r w:rsidR="007958C9">
        <w:t xml:space="preserve">reduce overall study budget impact. </w:t>
      </w:r>
      <w:r w:rsidR="00061A04">
        <w:t xml:space="preserve">Efforts </w:t>
      </w:r>
      <w:r w:rsidR="00C005B6">
        <w:t xml:space="preserve">should have a presence throughout the public transportation </w:t>
      </w:r>
      <w:r w:rsidR="00B861D2">
        <w:t xml:space="preserve">service area. Generally, the contractor will be allowed flexibility </w:t>
      </w:r>
      <w:r w:rsidR="007113A4">
        <w:t xml:space="preserve">in the public engagement process to maximize public involvement and minimize impact </w:t>
      </w:r>
      <w:r w:rsidR="009C2305">
        <w:t>on the</w:t>
      </w:r>
      <w:r w:rsidR="007113A4">
        <w:t xml:space="preserve"> study budget</w:t>
      </w:r>
      <w:r w:rsidR="009C2305">
        <w:t>. A</w:t>
      </w:r>
      <w:r w:rsidR="00680782">
        <w:t xml:space="preserve"> variety</w:t>
      </w:r>
      <w:r w:rsidR="007113A4">
        <w:t xml:space="preserve"> of </w:t>
      </w:r>
      <w:r w:rsidR="00680782">
        <w:t>public involvement efforts have been identified in the project deliverables portion of this section</w:t>
      </w:r>
      <w:r w:rsidR="00321F1B">
        <w:t>, for local and state expectations</w:t>
      </w:r>
      <w:r w:rsidR="00680782">
        <w:t xml:space="preserve">. These </w:t>
      </w:r>
      <w:r w:rsidR="00712612">
        <w:t xml:space="preserve">public involvement </w:t>
      </w:r>
      <w:r w:rsidR="00712612">
        <w:lastRenderedPageBreak/>
        <w:t xml:space="preserve">efforts </w:t>
      </w:r>
      <w:r w:rsidR="00680782">
        <w:t>should be considered minimum public involvement efforts</w:t>
      </w:r>
      <w:r w:rsidR="0075558B">
        <w:t>, and</w:t>
      </w:r>
      <w:r w:rsidR="00680782">
        <w:t xml:space="preserve"> </w:t>
      </w:r>
      <w:r w:rsidR="00321F1B">
        <w:t xml:space="preserve">a much greater level of varied public engagement efforts will be needed to meaningfully </w:t>
      </w:r>
      <w:r w:rsidR="004757DE">
        <w:t>obtain input</w:t>
      </w:r>
      <w:r w:rsidR="0075558B">
        <w:t xml:space="preserve"> by</w:t>
      </w:r>
      <w:r w:rsidR="004757DE">
        <w:t xml:space="preserve"> the public. </w:t>
      </w:r>
    </w:p>
    <w:p w14:paraId="6E0013EE" w14:textId="77777777" w:rsidR="0055682C" w:rsidRDefault="0055682C" w:rsidP="00237DD8">
      <w:pPr>
        <w:ind w:left="0"/>
        <w:rPr>
          <w:b/>
          <w:bCs/>
        </w:rPr>
      </w:pPr>
    </w:p>
    <w:p w14:paraId="52D721EA" w14:textId="1CB1D9DF" w:rsidR="00E55584" w:rsidRPr="00543AC0" w:rsidRDefault="00E55584" w:rsidP="006C0679">
      <w:pPr>
        <w:ind w:left="1080"/>
        <w:rPr>
          <w:b/>
          <w:bCs/>
        </w:rPr>
      </w:pPr>
      <w:r w:rsidRPr="00543AC0">
        <w:rPr>
          <w:b/>
          <w:bCs/>
        </w:rPr>
        <w:t>Deliverables:</w:t>
      </w:r>
    </w:p>
    <w:p w14:paraId="2D6D4833" w14:textId="77777777" w:rsidR="00A268A1" w:rsidRDefault="00A268A1" w:rsidP="00A268A1">
      <w:pPr>
        <w:pStyle w:val="ListParagraph"/>
        <w:numPr>
          <w:ilvl w:val="0"/>
          <w:numId w:val="45"/>
        </w:numPr>
      </w:pPr>
      <w:r>
        <w:t>Public Engagement Plan in conjunction with MTP overarching Public Engagement Plan</w:t>
      </w:r>
    </w:p>
    <w:p w14:paraId="5477A40B" w14:textId="77777777" w:rsidR="00A268A1" w:rsidRDefault="00A268A1" w:rsidP="00A268A1">
      <w:pPr>
        <w:pStyle w:val="ListParagraph"/>
        <w:numPr>
          <w:ilvl w:val="0"/>
          <w:numId w:val="45"/>
        </w:numPr>
      </w:pPr>
      <w:r>
        <w:t>Development of materials, surveys, website content, and other elements that may be used in the public engagement process</w:t>
      </w:r>
    </w:p>
    <w:p w14:paraId="0CDD19D5" w14:textId="77777777" w:rsidR="00A268A1" w:rsidRDefault="00A268A1" w:rsidP="00A268A1">
      <w:pPr>
        <w:pStyle w:val="ListParagraph"/>
        <w:numPr>
          <w:ilvl w:val="0"/>
          <w:numId w:val="45"/>
        </w:numPr>
      </w:pPr>
      <w:r>
        <w:t>Provide a point of contact for public comments and reaction to questions from the public</w:t>
      </w:r>
    </w:p>
    <w:p w14:paraId="1934C012" w14:textId="77777777" w:rsidR="00A268A1" w:rsidRDefault="00A268A1" w:rsidP="00A268A1">
      <w:pPr>
        <w:pStyle w:val="ListParagraph"/>
        <w:numPr>
          <w:ilvl w:val="0"/>
          <w:numId w:val="45"/>
        </w:numPr>
      </w:pPr>
      <w:r>
        <w:t xml:space="preserve">Facilitation of public meetings/focus groups </w:t>
      </w:r>
    </w:p>
    <w:p w14:paraId="17B93527" w14:textId="77777777" w:rsidR="00A268A1" w:rsidRPr="00986B1A" w:rsidRDefault="00A268A1" w:rsidP="00A268A1">
      <w:pPr>
        <w:pStyle w:val="ListParagraph"/>
        <w:numPr>
          <w:ilvl w:val="0"/>
          <w:numId w:val="45"/>
        </w:numPr>
      </w:pPr>
      <w:r>
        <w:t>Public meeting/hearing facilitation and/or presentation</w:t>
      </w:r>
    </w:p>
    <w:p w14:paraId="3738DF01" w14:textId="77777777" w:rsidR="00A268A1" w:rsidRDefault="00A268A1" w:rsidP="00A268A1">
      <w:pPr>
        <w:pStyle w:val="ListParagraph"/>
        <w:numPr>
          <w:ilvl w:val="0"/>
          <w:numId w:val="45"/>
        </w:numPr>
      </w:pPr>
      <w:r>
        <w:t xml:space="preserve">A minimum of two (2) </w:t>
      </w:r>
      <w:proofErr w:type="gramStart"/>
      <w:r>
        <w:t>general public</w:t>
      </w:r>
      <w:proofErr w:type="gramEnd"/>
      <w:r>
        <w:t xml:space="preserve"> meetings</w:t>
      </w:r>
    </w:p>
    <w:p w14:paraId="1BCFE7EE" w14:textId="77777777" w:rsidR="00A268A1" w:rsidRDefault="00A268A1" w:rsidP="00A268A1">
      <w:pPr>
        <w:pStyle w:val="ListParagraph"/>
        <w:numPr>
          <w:ilvl w:val="1"/>
          <w:numId w:val="45"/>
        </w:numPr>
      </w:pPr>
      <w:r>
        <w:t>First to listen and gather information</w:t>
      </w:r>
    </w:p>
    <w:p w14:paraId="120162A4" w14:textId="77777777" w:rsidR="00A268A1" w:rsidRDefault="00A268A1" w:rsidP="00A268A1">
      <w:pPr>
        <w:pStyle w:val="ListParagraph"/>
        <w:numPr>
          <w:ilvl w:val="1"/>
          <w:numId w:val="45"/>
        </w:numPr>
      </w:pPr>
      <w:r>
        <w:t>Second to present draft plan</w:t>
      </w:r>
    </w:p>
    <w:p w14:paraId="5A31E480" w14:textId="77777777" w:rsidR="00A268A1" w:rsidRDefault="00A268A1" w:rsidP="00A268A1">
      <w:pPr>
        <w:pStyle w:val="ListParagraph"/>
        <w:numPr>
          <w:ilvl w:val="1"/>
          <w:numId w:val="45"/>
        </w:numPr>
      </w:pPr>
      <w:r>
        <w:t>These meetings could occur in conjunction with the other meetings associated with the overarching MTP public engagement process</w:t>
      </w:r>
    </w:p>
    <w:p w14:paraId="4717E1CF" w14:textId="77777777" w:rsidR="00A268A1" w:rsidRDefault="00A268A1" w:rsidP="00A268A1">
      <w:pPr>
        <w:pStyle w:val="ListParagraph"/>
        <w:numPr>
          <w:ilvl w:val="0"/>
          <w:numId w:val="45"/>
        </w:numPr>
      </w:pPr>
      <w:r>
        <w:t>A minimum of two (2) sets of presentations to the Grand Forks and East Grand Forks City Councils prior to consideration of the MPO TAC and Policy Board</w:t>
      </w:r>
    </w:p>
    <w:p w14:paraId="7A3E9DD5" w14:textId="77777777" w:rsidR="00A268A1" w:rsidRDefault="00A268A1" w:rsidP="00A268A1">
      <w:pPr>
        <w:pStyle w:val="ListParagraph"/>
        <w:numPr>
          <w:ilvl w:val="1"/>
          <w:numId w:val="45"/>
        </w:numPr>
      </w:pPr>
      <w:r>
        <w:t>First to introduce the plan and obtain initial feedback</w:t>
      </w:r>
    </w:p>
    <w:p w14:paraId="4F39FA33" w14:textId="77777777" w:rsidR="00A268A1" w:rsidRDefault="00A268A1" w:rsidP="00A268A1">
      <w:pPr>
        <w:pStyle w:val="ListParagraph"/>
        <w:numPr>
          <w:ilvl w:val="1"/>
          <w:numId w:val="45"/>
        </w:numPr>
      </w:pPr>
      <w:proofErr w:type="gramStart"/>
      <w:r>
        <w:t>Second to present</w:t>
      </w:r>
      <w:proofErr w:type="gramEnd"/>
      <w:r>
        <w:t xml:space="preserve"> the draft plan for consideration of adoption</w:t>
      </w:r>
    </w:p>
    <w:p w14:paraId="7E40603F" w14:textId="77777777" w:rsidR="00A268A1" w:rsidRDefault="00A268A1" w:rsidP="00A268A1">
      <w:pPr>
        <w:pStyle w:val="ListParagraph"/>
        <w:numPr>
          <w:ilvl w:val="1"/>
          <w:numId w:val="45"/>
        </w:numPr>
      </w:pPr>
      <w:r>
        <w:t>These meetings could occur in conjunction with the other meetings associated with the overarching MTP public engagement process</w:t>
      </w:r>
    </w:p>
    <w:p w14:paraId="06B95C68" w14:textId="77777777" w:rsidR="00A268A1" w:rsidRDefault="00A268A1" w:rsidP="00A268A1">
      <w:pPr>
        <w:pStyle w:val="ListParagraph"/>
        <w:numPr>
          <w:ilvl w:val="0"/>
          <w:numId w:val="45"/>
        </w:numPr>
      </w:pPr>
      <w:r>
        <w:t>A minimum of three (3) sets of presentations to the MPO TAC and Policy Board</w:t>
      </w:r>
    </w:p>
    <w:p w14:paraId="101ABDA7" w14:textId="77777777" w:rsidR="00A268A1" w:rsidRDefault="00A268A1" w:rsidP="00A268A1">
      <w:pPr>
        <w:pStyle w:val="ListParagraph"/>
        <w:numPr>
          <w:ilvl w:val="1"/>
          <w:numId w:val="45"/>
        </w:numPr>
      </w:pPr>
      <w:r>
        <w:t>First to introduce the plan and obtain feedback</w:t>
      </w:r>
    </w:p>
    <w:p w14:paraId="6CEA6829" w14:textId="77777777" w:rsidR="00A268A1" w:rsidRDefault="00A268A1" w:rsidP="00A268A1">
      <w:pPr>
        <w:pStyle w:val="ListParagraph"/>
        <w:numPr>
          <w:ilvl w:val="1"/>
          <w:numId w:val="45"/>
        </w:numPr>
      </w:pPr>
      <w:r>
        <w:t>Second as an update on the process</w:t>
      </w:r>
    </w:p>
    <w:p w14:paraId="77AAEB72" w14:textId="77777777" w:rsidR="00A268A1" w:rsidRDefault="00A268A1" w:rsidP="00A268A1">
      <w:pPr>
        <w:pStyle w:val="ListParagraph"/>
        <w:numPr>
          <w:ilvl w:val="1"/>
          <w:numId w:val="45"/>
        </w:numPr>
      </w:pPr>
      <w:r>
        <w:t>Third to present the draft plan for consideration of adoption</w:t>
      </w:r>
    </w:p>
    <w:p w14:paraId="73176CAC" w14:textId="77777777" w:rsidR="00A268A1" w:rsidRDefault="00A268A1" w:rsidP="00A268A1">
      <w:pPr>
        <w:pStyle w:val="ListParagraph"/>
        <w:numPr>
          <w:ilvl w:val="1"/>
          <w:numId w:val="45"/>
        </w:numPr>
      </w:pPr>
      <w:r>
        <w:t>These meetings could occur in conjunction with the other meetings associated with the overarching MTP public engagement process</w:t>
      </w:r>
    </w:p>
    <w:p w14:paraId="7314CA76" w14:textId="77777777" w:rsidR="00A268A1" w:rsidRDefault="00A268A1" w:rsidP="00A268A1">
      <w:pPr>
        <w:pStyle w:val="ListParagraph"/>
        <w:numPr>
          <w:ilvl w:val="0"/>
          <w:numId w:val="45"/>
        </w:numPr>
      </w:pPr>
      <w:r>
        <w:t>Documentation of public engagement process, resulting comments/suggestions/questions from the process, and summary of how comments/suggestions/questions were considered/addressed in the final document or otherwise</w:t>
      </w:r>
    </w:p>
    <w:p w14:paraId="1D9CAF0B" w14:textId="77777777" w:rsidR="00841368" w:rsidRDefault="00841368" w:rsidP="006C0679">
      <w:pPr>
        <w:ind w:left="1080"/>
        <w:rPr>
          <w:highlight w:val="magenta"/>
        </w:rPr>
      </w:pPr>
    </w:p>
    <w:p w14:paraId="6910FD79" w14:textId="166D68D4" w:rsidR="00A24D97" w:rsidRDefault="00BC7D8A" w:rsidP="00A24D97">
      <w:pPr>
        <w:ind w:left="1080"/>
        <w:rPr>
          <w:b/>
          <w:bCs/>
        </w:rPr>
      </w:pPr>
      <w:r w:rsidRPr="00BC7D8A">
        <w:rPr>
          <w:b/>
          <w:bCs/>
        </w:rPr>
        <w:t>TDP</w:t>
      </w:r>
      <w:r w:rsidR="003B37F0">
        <w:rPr>
          <w:b/>
          <w:bCs/>
        </w:rPr>
        <w:t xml:space="preserve"> 4 - </w:t>
      </w:r>
      <w:r w:rsidRPr="00BC7D8A">
        <w:rPr>
          <w:b/>
          <w:bCs/>
        </w:rPr>
        <w:t xml:space="preserve">Existing Conditions </w:t>
      </w:r>
    </w:p>
    <w:p w14:paraId="7891368A" w14:textId="77777777" w:rsidR="00A11CA8" w:rsidRDefault="00AB3E36" w:rsidP="00A24D97">
      <w:pPr>
        <w:ind w:left="1080"/>
      </w:pPr>
      <w:r>
        <w:t xml:space="preserve">The consultant shall update the existing conditions from the previous </w:t>
      </w:r>
      <w:r w:rsidR="00A11CA8">
        <w:t>TDP. This should include but may not be limited to:</w:t>
      </w:r>
    </w:p>
    <w:p w14:paraId="174985DB" w14:textId="73A0302C" w:rsidR="00BC7D8A" w:rsidRPr="0001027C" w:rsidRDefault="00E12C0A" w:rsidP="00A11CA8">
      <w:pPr>
        <w:pStyle w:val="ListParagraph"/>
        <w:numPr>
          <w:ilvl w:val="0"/>
          <w:numId w:val="46"/>
        </w:numPr>
        <w:rPr>
          <w:b/>
          <w:bCs/>
        </w:rPr>
      </w:pPr>
      <w:r>
        <w:t>Federally required transit safety and asset management performance measures</w:t>
      </w:r>
    </w:p>
    <w:p w14:paraId="56E93F6C" w14:textId="188F466A" w:rsidR="0001027C" w:rsidRPr="00C9339A" w:rsidRDefault="0001027C" w:rsidP="00A11CA8">
      <w:pPr>
        <w:pStyle w:val="ListParagraph"/>
        <w:numPr>
          <w:ilvl w:val="0"/>
          <w:numId w:val="46"/>
        </w:numPr>
        <w:rPr>
          <w:b/>
          <w:bCs/>
        </w:rPr>
      </w:pPr>
      <w:r>
        <w:t>Update of route</w:t>
      </w:r>
      <w:r w:rsidR="00C9339A">
        <w:t xml:space="preserve"> and timing</w:t>
      </w:r>
      <w:r>
        <w:t xml:space="preserve"> system including supporting systems such as the </w:t>
      </w:r>
      <w:r w:rsidR="00C9339A">
        <w:t>University of North Dakota campus shuttle</w:t>
      </w:r>
    </w:p>
    <w:p w14:paraId="7E2BF1B4" w14:textId="37556537" w:rsidR="00C9339A" w:rsidRPr="00BA2C25" w:rsidRDefault="00C9339A" w:rsidP="00A11CA8">
      <w:pPr>
        <w:pStyle w:val="ListParagraph"/>
        <w:numPr>
          <w:ilvl w:val="0"/>
          <w:numId w:val="46"/>
        </w:numPr>
        <w:rPr>
          <w:b/>
          <w:bCs/>
        </w:rPr>
      </w:pPr>
      <w:r>
        <w:t xml:space="preserve">Identification of current </w:t>
      </w:r>
      <w:proofErr w:type="spellStart"/>
      <w:r>
        <w:t>fair</w:t>
      </w:r>
      <w:proofErr w:type="spellEnd"/>
      <w:r>
        <w:t xml:space="preserve"> structure </w:t>
      </w:r>
    </w:p>
    <w:p w14:paraId="7E9660EB" w14:textId="7299A88F" w:rsidR="00BA2C25" w:rsidRPr="001D3273" w:rsidRDefault="00BA2C25" w:rsidP="00A11CA8">
      <w:pPr>
        <w:pStyle w:val="ListParagraph"/>
        <w:numPr>
          <w:ilvl w:val="0"/>
          <w:numId w:val="46"/>
        </w:numPr>
        <w:rPr>
          <w:b/>
          <w:bCs/>
        </w:rPr>
      </w:pPr>
      <w:r>
        <w:t>Documentation of ridership historic trends to present</w:t>
      </w:r>
    </w:p>
    <w:p w14:paraId="3B6C1535" w14:textId="31ABA447" w:rsidR="00BE0C09" w:rsidRPr="00DB51E1" w:rsidRDefault="001D3273" w:rsidP="00DB51E1">
      <w:pPr>
        <w:pStyle w:val="ListParagraph"/>
        <w:numPr>
          <w:ilvl w:val="0"/>
          <w:numId w:val="46"/>
        </w:numPr>
        <w:rPr>
          <w:b/>
          <w:bCs/>
        </w:rPr>
      </w:pPr>
      <w:r>
        <w:t xml:space="preserve">Identification of related plans that have occurred since the last TDP and </w:t>
      </w:r>
      <w:r w:rsidR="009B2459">
        <w:t>which recommendations have been incorporated into transit system operation</w:t>
      </w:r>
    </w:p>
    <w:p w14:paraId="13BBBB67" w14:textId="77777777" w:rsidR="00CE3498" w:rsidRDefault="00CE3498" w:rsidP="00DB51E1">
      <w:pPr>
        <w:ind w:left="0"/>
        <w:rPr>
          <w:b/>
          <w:bCs/>
        </w:rPr>
      </w:pPr>
    </w:p>
    <w:p w14:paraId="104A15E1" w14:textId="6EFA4F29" w:rsidR="00A16C44" w:rsidRDefault="00A16C44" w:rsidP="00A16C44">
      <w:pPr>
        <w:ind w:left="1080"/>
        <w:rPr>
          <w:b/>
          <w:bCs/>
        </w:rPr>
      </w:pPr>
      <w:r>
        <w:rPr>
          <w:b/>
          <w:bCs/>
        </w:rPr>
        <w:t>Deliverable</w:t>
      </w:r>
      <w:r w:rsidR="00840524">
        <w:rPr>
          <w:b/>
          <w:bCs/>
        </w:rPr>
        <w:t>s:</w:t>
      </w:r>
    </w:p>
    <w:p w14:paraId="72EE4E17" w14:textId="609F499E" w:rsidR="00840524" w:rsidRPr="00840524" w:rsidRDefault="00603EC8" w:rsidP="00840524">
      <w:pPr>
        <w:pStyle w:val="ListParagraph"/>
        <w:numPr>
          <w:ilvl w:val="0"/>
          <w:numId w:val="47"/>
        </w:numPr>
        <w:rPr>
          <w:b/>
          <w:bCs/>
        </w:rPr>
      </w:pPr>
      <w:r>
        <w:t>A t</w:t>
      </w:r>
      <w:r w:rsidR="00840524">
        <w:t xml:space="preserve">echnical memorandum or chapter draft </w:t>
      </w:r>
      <w:r w:rsidR="00BE0C09">
        <w:t xml:space="preserve">documenting </w:t>
      </w:r>
      <w:r>
        <w:t>the preceding and other relevant existing conditions elements</w:t>
      </w:r>
    </w:p>
    <w:p w14:paraId="5B05E888" w14:textId="77777777" w:rsidR="00986B1A" w:rsidRDefault="00986B1A" w:rsidP="006C0679">
      <w:pPr>
        <w:ind w:left="1080"/>
        <w:rPr>
          <w:highlight w:val="magenta"/>
        </w:rPr>
      </w:pPr>
    </w:p>
    <w:p w14:paraId="7A0CAB85" w14:textId="1C5B0A9B" w:rsidR="009039CF" w:rsidRDefault="00E31066" w:rsidP="00C53289">
      <w:pPr>
        <w:ind w:left="1080"/>
        <w:rPr>
          <w:b/>
          <w:bCs/>
        </w:rPr>
      </w:pPr>
      <w:r w:rsidRPr="009039CF">
        <w:rPr>
          <w:b/>
          <w:bCs/>
        </w:rPr>
        <w:t>TDP</w:t>
      </w:r>
      <w:r w:rsidR="008F050D">
        <w:rPr>
          <w:b/>
          <w:bCs/>
        </w:rPr>
        <w:t xml:space="preserve"> </w:t>
      </w:r>
      <w:r w:rsidR="003B37F0" w:rsidRPr="009039CF">
        <w:rPr>
          <w:b/>
          <w:bCs/>
        </w:rPr>
        <w:t xml:space="preserve">5 </w:t>
      </w:r>
      <w:r w:rsidR="009039CF" w:rsidRPr="009039CF">
        <w:rPr>
          <w:b/>
          <w:bCs/>
        </w:rPr>
        <w:t>–</w:t>
      </w:r>
      <w:r w:rsidR="003B37F0" w:rsidRPr="009039CF">
        <w:rPr>
          <w:b/>
          <w:bCs/>
        </w:rPr>
        <w:t xml:space="preserve"> </w:t>
      </w:r>
      <w:r w:rsidR="009039CF" w:rsidRPr="009039CF">
        <w:rPr>
          <w:b/>
          <w:bCs/>
        </w:rPr>
        <w:t>Coordinated Public Transit-Human Services Transportation Plan</w:t>
      </w:r>
    </w:p>
    <w:p w14:paraId="5135E960" w14:textId="453D2AD6" w:rsidR="004853A5" w:rsidRDefault="007D1AF6" w:rsidP="006D4204">
      <w:pPr>
        <w:ind w:left="1080"/>
      </w:pPr>
      <w:r>
        <w:t xml:space="preserve">An update of the </w:t>
      </w:r>
      <w:r w:rsidR="00412184">
        <w:t xml:space="preserve">Consolidated Public Transit-Human Services Transportation Plan will need to be </w:t>
      </w:r>
      <w:r w:rsidR="005C7D86">
        <w:t>implemented</w:t>
      </w:r>
      <w:r w:rsidR="00412184">
        <w:t xml:space="preserve">. </w:t>
      </w:r>
      <w:r w:rsidR="00EF246C">
        <w:t xml:space="preserve">The subject plan will need to address at a minimum </w:t>
      </w:r>
      <w:proofErr w:type="gramStart"/>
      <w:r w:rsidR="00EF246C">
        <w:t>all of</w:t>
      </w:r>
      <w:proofErr w:type="gramEnd"/>
      <w:r w:rsidR="00EF246C">
        <w:t xml:space="preserve"> the elements and r</w:t>
      </w:r>
      <w:r w:rsidR="00267E37">
        <w:t xml:space="preserve">equirements identified in FTA Circular C9070.1H. Among other elements this </w:t>
      </w:r>
      <w:r w:rsidR="0040292F">
        <w:t xml:space="preserve">plan will need to be completed within 5 years or less of the adoption of the existing plan to qualify the region for </w:t>
      </w:r>
      <w:r w:rsidR="007945C6">
        <w:t xml:space="preserve">federal and state public transportation funds such as the FTA 5310 program. </w:t>
      </w:r>
      <w:r w:rsidR="004966D8">
        <w:t>Generally,</w:t>
      </w:r>
      <w:r w:rsidR="00E80B1B">
        <w:t xml:space="preserve"> the plan will</w:t>
      </w:r>
      <w:r w:rsidR="004966D8">
        <w:t xml:space="preserve"> </w:t>
      </w:r>
      <w:r w:rsidR="00E80B1B">
        <w:t>identify the transportation needs of individuals with disabilities (including those who use wheelchairs) and seniors and may include people with low incomes; provide strategies for meeting those local needs; and prioritize transportation services and projects for funding and implementation.</w:t>
      </w:r>
    </w:p>
    <w:p w14:paraId="3EFF6DB0" w14:textId="77777777" w:rsidR="005C7D86" w:rsidRDefault="005C7D86" w:rsidP="00D43341">
      <w:pPr>
        <w:ind w:left="0"/>
        <w:rPr>
          <w:b/>
          <w:bCs/>
        </w:rPr>
      </w:pPr>
    </w:p>
    <w:p w14:paraId="12645F8C" w14:textId="71C21DD5" w:rsidR="006D4204" w:rsidRPr="006D4204" w:rsidRDefault="006D4204" w:rsidP="006D4204">
      <w:pPr>
        <w:ind w:left="1080"/>
        <w:rPr>
          <w:b/>
          <w:bCs/>
        </w:rPr>
      </w:pPr>
      <w:r w:rsidRPr="006D4204">
        <w:rPr>
          <w:b/>
          <w:bCs/>
        </w:rPr>
        <w:t>Deliverables:</w:t>
      </w:r>
    </w:p>
    <w:p w14:paraId="51ABB010" w14:textId="787AB3A3" w:rsidR="006D4204" w:rsidRDefault="00603ECD" w:rsidP="006D4204">
      <w:pPr>
        <w:ind w:left="1080"/>
      </w:pPr>
      <w:r>
        <w:t xml:space="preserve">A technical memorandum or chapter draft that </w:t>
      </w:r>
      <w:r w:rsidR="001F0D8B">
        <w:t xml:space="preserve">comprises the Coordinated Public Transit-Human Services Transportation Plan. </w:t>
      </w:r>
    </w:p>
    <w:p w14:paraId="6377831D" w14:textId="77777777" w:rsidR="001767B5" w:rsidRDefault="001767B5" w:rsidP="006D4204">
      <w:pPr>
        <w:ind w:left="1080"/>
        <w:rPr>
          <w:b/>
          <w:bCs/>
        </w:rPr>
      </w:pPr>
    </w:p>
    <w:p w14:paraId="0679563D" w14:textId="73DC3F5B" w:rsidR="001F0D8B" w:rsidRPr="007C33AD" w:rsidRDefault="001923F0" w:rsidP="006D4204">
      <w:pPr>
        <w:ind w:left="1080"/>
        <w:rPr>
          <w:b/>
          <w:bCs/>
        </w:rPr>
      </w:pPr>
      <w:r w:rsidRPr="007C33AD">
        <w:rPr>
          <w:b/>
          <w:bCs/>
        </w:rPr>
        <w:t xml:space="preserve">TDP 6 </w:t>
      </w:r>
      <w:r w:rsidR="00F85201" w:rsidRPr="007C33AD">
        <w:rPr>
          <w:b/>
          <w:bCs/>
        </w:rPr>
        <w:t>–</w:t>
      </w:r>
      <w:r w:rsidRPr="007C33AD">
        <w:rPr>
          <w:b/>
          <w:bCs/>
        </w:rPr>
        <w:t xml:space="preserve"> </w:t>
      </w:r>
      <w:r w:rsidR="00F85201" w:rsidRPr="007C33AD">
        <w:rPr>
          <w:b/>
          <w:bCs/>
        </w:rPr>
        <w:t>Goals, Policies, Priorities and Performance Measures</w:t>
      </w:r>
    </w:p>
    <w:p w14:paraId="6C4C24B5" w14:textId="6A1B5D0F" w:rsidR="00F85201" w:rsidRDefault="002F3589" w:rsidP="006D4204">
      <w:pPr>
        <w:ind w:left="1080"/>
      </w:pPr>
      <w:r>
        <w:t>The consultant should review existing goals, policies, priorities, and performance measures and from the public engagement process, determine if and what changes should be made from the</w:t>
      </w:r>
      <w:r w:rsidR="00D07963">
        <w:t xml:space="preserve"> existing approved plan. </w:t>
      </w:r>
    </w:p>
    <w:p w14:paraId="680760EA" w14:textId="77777777" w:rsidR="007C33AD" w:rsidRDefault="007C33AD" w:rsidP="006D4204">
      <w:pPr>
        <w:ind w:left="1080"/>
      </w:pPr>
    </w:p>
    <w:p w14:paraId="584C34E2" w14:textId="5AABCF40" w:rsidR="007C33AD" w:rsidRPr="007C33AD" w:rsidRDefault="007C33AD" w:rsidP="006D4204">
      <w:pPr>
        <w:ind w:left="1080"/>
        <w:rPr>
          <w:b/>
          <w:bCs/>
        </w:rPr>
      </w:pPr>
      <w:r w:rsidRPr="007C33AD">
        <w:rPr>
          <w:b/>
          <w:bCs/>
        </w:rPr>
        <w:t>Deliverables:</w:t>
      </w:r>
    </w:p>
    <w:p w14:paraId="453C43E9" w14:textId="5BFC7FEC" w:rsidR="007C33AD" w:rsidRDefault="00500783" w:rsidP="006D4204">
      <w:pPr>
        <w:ind w:left="1080"/>
      </w:pPr>
      <w:r>
        <w:t>A technical memorandum</w:t>
      </w:r>
      <w:r w:rsidR="008663D0">
        <w:t xml:space="preserve"> or draft chapter</w:t>
      </w:r>
      <w:r>
        <w:t xml:space="preserve"> updating any changes to the existing public transportation </w:t>
      </w:r>
      <w:r w:rsidR="00BF774F">
        <w:t xml:space="preserve">system related goals, policies, priorities, and performance measures. </w:t>
      </w:r>
    </w:p>
    <w:p w14:paraId="69304600" w14:textId="77777777" w:rsidR="00E23989" w:rsidRDefault="00E23989" w:rsidP="006D4204">
      <w:pPr>
        <w:ind w:left="1080"/>
      </w:pPr>
    </w:p>
    <w:p w14:paraId="4CA58923" w14:textId="2F1A2D82" w:rsidR="00E23989" w:rsidRPr="001D5A0E" w:rsidRDefault="00E23989" w:rsidP="006D4204">
      <w:pPr>
        <w:ind w:left="1080"/>
        <w:rPr>
          <w:b/>
          <w:bCs/>
        </w:rPr>
      </w:pPr>
      <w:r w:rsidRPr="001D5A0E">
        <w:rPr>
          <w:b/>
          <w:bCs/>
        </w:rPr>
        <w:t xml:space="preserve">TDP 7 </w:t>
      </w:r>
      <w:r w:rsidR="001D5A0E" w:rsidRPr="001D5A0E">
        <w:rPr>
          <w:b/>
          <w:bCs/>
        </w:rPr>
        <w:t>–</w:t>
      </w:r>
      <w:r w:rsidRPr="001D5A0E">
        <w:rPr>
          <w:b/>
          <w:bCs/>
        </w:rPr>
        <w:t xml:space="preserve"> </w:t>
      </w:r>
      <w:r w:rsidR="001D5A0E" w:rsidRPr="001D5A0E">
        <w:rPr>
          <w:b/>
          <w:bCs/>
        </w:rPr>
        <w:t xml:space="preserve">Future System </w:t>
      </w:r>
      <w:r w:rsidR="00E67C03">
        <w:rPr>
          <w:b/>
          <w:bCs/>
        </w:rPr>
        <w:t>Recommendations</w:t>
      </w:r>
    </w:p>
    <w:p w14:paraId="1FE4767A" w14:textId="37750BEB" w:rsidR="001D5A0E" w:rsidRDefault="001D5A0E" w:rsidP="006D4204">
      <w:pPr>
        <w:ind w:left="1080"/>
      </w:pPr>
      <w:r>
        <w:t xml:space="preserve">The consultant will update </w:t>
      </w:r>
      <w:r w:rsidR="00E67C03">
        <w:t>the</w:t>
      </w:r>
      <w:r>
        <w:t xml:space="preserve"> future system needs </w:t>
      </w:r>
      <w:r w:rsidR="00DD08BA">
        <w:t>from the existing approved TDP including but not limited to operation</w:t>
      </w:r>
      <w:r w:rsidR="00D272C0">
        <w:t xml:space="preserve"> and system needs</w:t>
      </w:r>
      <w:r w:rsidR="00774C46">
        <w:t xml:space="preserve">/gaps. </w:t>
      </w:r>
      <w:r w:rsidR="00BC3944">
        <w:t>This could include but may not be limited to:</w:t>
      </w:r>
    </w:p>
    <w:p w14:paraId="21B1A623" w14:textId="697C0F5E" w:rsidR="00BC3944" w:rsidRDefault="00B17854" w:rsidP="00BC3944">
      <w:pPr>
        <w:pStyle w:val="ListParagraph"/>
        <w:numPr>
          <w:ilvl w:val="0"/>
          <w:numId w:val="47"/>
        </w:numPr>
      </w:pPr>
      <w:r>
        <w:t>Existing s</w:t>
      </w:r>
      <w:r w:rsidR="00BC3944">
        <w:t>ervice expansion/reduction</w:t>
      </w:r>
      <w:r>
        <w:t>/modification</w:t>
      </w:r>
    </w:p>
    <w:p w14:paraId="47E09F1A" w14:textId="29B5719E" w:rsidR="00DC2BB7" w:rsidRDefault="00DC2BB7" w:rsidP="00DC2BB7">
      <w:pPr>
        <w:pStyle w:val="ListParagraph"/>
        <w:numPr>
          <w:ilvl w:val="1"/>
          <w:numId w:val="47"/>
        </w:numPr>
      </w:pPr>
      <w:r>
        <w:t>Considering fleet</w:t>
      </w:r>
      <w:r w:rsidR="00517043">
        <w:t>, facility,</w:t>
      </w:r>
      <w:r>
        <w:t xml:space="preserve"> and staffing requirements</w:t>
      </w:r>
    </w:p>
    <w:p w14:paraId="5FD32CBC" w14:textId="2C085AD8" w:rsidR="00B17854" w:rsidRDefault="00B17854" w:rsidP="00BC3944">
      <w:pPr>
        <w:pStyle w:val="ListParagraph"/>
        <w:numPr>
          <w:ilvl w:val="0"/>
          <w:numId w:val="47"/>
        </w:numPr>
      </w:pPr>
      <w:r>
        <w:t>Incorporation</w:t>
      </w:r>
      <w:r w:rsidR="006B20E0">
        <w:t>/coordination</w:t>
      </w:r>
      <w:r>
        <w:t xml:space="preserve"> of new technology or service delivery methods such as microtransit</w:t>
      </w:r>
    </w:p>
    <w:p w14:paraId="373F66C2" w14:textId="663B5F57" w:rsidR="00DC0FDA" w:rsidRDefault="00DC0FDA" w:rsidP="00DC0FDA">
      <w:pPr>
        <w:pStyle w:val="ListParagraph"/>
        <w:numPr>
          <w:ilvl w:val="0"/>
          <w:numId w:val="47"/>
        </w:numPr>
      </w:pPr>
      <w:r>
        <w:t xml:space="preserve">Asset management of elements such as fleet, equipment, </w:t>
      </w:r>
      <w:r w:rsidR="00DC2BB7">
        <w:t>and facilities</w:t>
      </w:r>
    </w:p>
    <w:p w14:paraId="61655216" w14:textId="77777777" w:rsidR="00517043" w:rsidRDefault="00517043" w:rsidP="00517043">
      <w:pPr>
        <w:ind w:left="1080"/>
      </w:pPr>
    </w:p>
    <w:p w14:paraId="530F019C" w14:textId="70335C31" w:rsidR="00BC0F67" w:rsidRDefault="00E67C03" w:rsidP="00BC0F67">
      <w:pPr>
        <w:ind w:left="1080"/>
      </w:pPr>
      <w:r>
        <w:t xml:space="preserve">This product will </w:t>
      </w:r>
      <w:r w:rsidR="00BC0F67">
        <w:t>result in</w:t>
      </w:r>
      <w:r>
        <w:t xml:space="preserve"> a financially constrained list of public transportation needs </w:t>
      </w:r>
      <w:r w:rsidR="00DC453B">
        <w:t>broken up into short-, mid-, and long</w:t>
      </w:r>
      <w:r w:rsidR="00BC0F67">
        <w:t xml:space="preserve">-range time periods. </w:t>
      </w:r>
    </w:p>
    <w:p w14:paraId="1B140AE4" w14:textId="77777777" w:rsidR="00BC0F67" w:rsidRDefault="00BC0F67" w:rsidP="00BC0F67">
      <w:pPr>
        <w:ind w:left="1080"/>
      </w:pPr>
    </w:p>
    <w:p w14:paraId="786F911F" w14:textId="5E6F7F9D" w:rsidR="00BC0F67" w:rsidRPr="008663D0" w:rsidRDefault="00BD2670" w:rsidP="00BC0F67">
      <w:pPr>
        <w:ind w:left="1080"/>
        <w:rPr>
          <w:b/>
          <w:bCs/>
        </w:rPr>
      </w:pPr>
      <w:r w:rsidRPr="008663D0">
        <w:rPr>
          <w:b/>
          <w:bCs/>
        </w:rPr>
        <w:t>Deliverables:</w:t>
      </w:r>
    </w:p>
    <w:p w14:paraId="172C2071" w14:textId="16FF11CB" w:rsidR="00BD2670" w:rsidRDefault="00B84502" w:rsidP="00BC0F67">
      <w:pPr>
        <w:ind w:left="1080"/>
      </w:pPr>
      <w:r>
        <w:t>A technical memorandum</w:t>
      </w:r>
      <w:r w:rsidR="008663D0">
        <w:t xml:space="preserve"> or draft chapter</w:t>
      </w:r>
      <w:r>
        <w:t xml:space="preserve"> </w:t>
      </w:r>
      <w:r w:rsidR="009560E2">
        <w:t xml:space="preserve">providing a short-, mid-, and long-range financially constrained list of </w:t>
      </w:r>
      <w:r w:rsidR="00E85F55">
        <w:t xml:space="preserve">improvements. </w:t>
      </w:r>
    </w:p>
    <w:p w14:paraId="75089727" w14:textId="77777777" w:rsidR="00A62278" w:rsidRDefault="00A62278" w:rsidP="00464A86">
      <w:pPr>
        <w:ind w:left="0"/>
      </w:pPr>
    </w:p>
    <w:p w14:paraId="0EAB40DE" w14:textId="6A201CBC" w:rsidR="008663D0" w:rsidRPr="00337DA2" w:rsidRDefault="00280AD1" w:rsidP="00BC0F67">
      <w:pPr>
        <w:ind w:left="1080"/>
        <w:rPr>
          <w:b/>
          <w:bCs/>
        </w:rPr>
      </w:pPr>
      <w:r w:rsidRPr="00337DA2">
        <w:rPr>
          <w:b/>
          <w:bCs/>
        </w:rPr>
        <w:t>TDP 8 – Final Plan</w:t>
      </w:r>
    </w:p>
    <w:p w14:paraId="7CD04E19" w14:textId="12A10C70" w:rsidR="00280AD1" w:rsidRDefault="009E6C3E" w:rsidP="00BC0F67">
      <w:pPr>
        <w:ind w:left="1080"/>
      </w:pPr>
      <w:r>
        <w:t>The consultant will prepare a draft TDP addressing the preceding elements</w:t>
      </w:r>
      <w:r w:rsidR="002B0ABA">
        <w:t xml:space="preserve"> for </w:t>
      </w:r>
      <w:r w:rsidR="002E638C">
        <w:t>presentation</w:t>
      </w:r>
      <w:r w:rsidR="006635C2">
        <w:t xml:space="preserve"> to the public</w:t>
      </w:r>
      <w:r w:rsidR="00051D76">
        <w:t xml:space="preserve">. </w:t>
      </w:r>
      <w:r w:rsidR="006635C2">
        <w:t xml:space="preserve">Once the draft has been presented for public </w:t>
      </w:r>
      <w:r w:rsidR="005A7CBD">
        <w:t>review and comment</w:t>
      </w:r>
      <w:r w:rsidR="006635C2">
        <w:t xml:space="preserve">, </w:t>
      </w:r>
      <w:r w:rsidR="004D0C54">
        <w:t xml:space="preserve">appropriate modifications will be made in consideration of public comments received and a final document </w:t>
      </w:r>
      <w:r w:rsidR="004D0C54">
        <w:lastRenderedPageBreak/>
        <w:t>prepared</w:t>
      </w:r>
      <w:r w:rsidR="005A7CBD">
        <w:t xml:space="preserve"> for consideration of adoption at the cities of Grand Forks and East Grand Forks and MPO TAC and Policy Board. </w:t>
      </w:r>
    </w:p>
    <w:p w14:paraId="41E22BA9" w14:textId="77777777" w:rsidR="0055682C" w:rsidRDefault="0055682C" w:rsidP="00BC0F67">
      <w:pPr>
        <w:ind w:left="1080"/>
        <w:rPr>
          <w:b/>
          <w:bCs/>
        </w:rPr>
      </w:pPr>
    </w:p>
    <w:p w14:paraId="7FC7B30C" w14:textId="4A0877A1" w:rsidR="001753C8" w:rsidRPr="00A62278" w:rsidRDefault="00D335B3" w:rsidP="00BC0F67">
      <w:pPr>
        <w:ind w:left="1080"/>
        <w:rPr>
          <w:b/>
          <w:bCs/>
        </w:rPr>
      </w:pPr>
      <w:r w:rsidRPr="00A62278">
        <w:rPr>
          <w:b/>
          <w:bCs/>
        </w:rPr>
        <w:t>Deliverables:</w:t>
      </w:r>
    </w:p>
    <w:p w14:paraId="02A7926F" w14:textId="0E44FA63" w:rsidR="00D335B3" w:rsidRDefault="00D335B3" w:rsidP="00E65EA8">
      <w:pPr>
        <w:pStyle w:val="ListParagraph"/>
        <w:numPr>
          <w:ilvl w:val="0"/>
          <w:numId w:val="48"/>
        </w:numPr>
      </w:pPr>
      <w:r>
        <w:t xml:space="preserve">A final document addressing </w:t>
      </w:r>
      <w:r w:rsidR="00E65EA8">
        <w:t>all the preceding elements</w:t>
      </w:r>
    </w:p>
    <w:p w14:paraId="3B33B78F" w14:textId="49EEC6B9" w:rsidR="00735BD2" w:rsidRDefault="00E65EA8" w:rsidP="00B05062">
      <w:pPr>
        <w:pStyle w:val="ListParagraph"/>
        <w:numPr>
          <w:ilvl w:val="0"/>
          <w:numId w:val="48"/>
        </w:numPr>
      </w:pPr>
      <w:r>
        <w:t xml:space="preserve">The document should be provided in Microsoft </w:t>
      </w:r>
      <w:r w:rsidR="00735BD2">
        <w:t>Word format as well as .pdf</w:t>
      </w:r>
    </w:p>
    <w:p w14:paraId="26EDE75B" w14:textId="77777777" w:rsidR="00B05062" w:rsidRDefault="00B05062" w:rsidP="00B05062"/>
    <w:p w14:paraId="317E9E43" w14:textId="70F6265C" w:rsidR="00B05062" w:rsidRPr="00237DD8" w:rsidRDefault="00151009" w:rsidP="00151009">
      <w:pPr>
        <w:ind w:left="1080"/>
        <w:rPr>
          <w:b/>
          <w:bCs/>
          <w:sz w:val="28"/>
          <w:szCs w:val="28"/>
        </w:rPr>
      </w:pPr>
      <w:r w:rsidRPr="00237DD8">
        <w:rPr>
          <w:b/>
          <w:bCs/>
          <w:sz w:val="28"/>
          <w:szCs w:val="28"/>
        </w:rPr>
        <w:t>MTP Scope of Work Elements</w:t>
      </w:r>
    </w:p>
    <w:p w14:paraId="2F1F53E1" w14:textId="77777777" w:rsidR="00151009" w:rsidRDefault="00151009" w:rsidP="00151009">
      <w:pPr>
        <w:ind w:left="1080"/>
      </w:pPr>
    </w:p>
    <w:p w14:paraId="3CFC1EF5" w14:textId="31A7AA81" w:rsidR="00151009" w:rsidRPr="001960FC" w:rsidRDefault="00151009" w:rsidP="00151009">
      <w:pPr>
        <w:ind w:left="1080"/>
        <w:rPr>
          <w:b/>
          <w:bCs/>
        </w:rPr>
      </w:pPr>
      <w:r>
        <w:rPr>
          <w:b/>
          <w:bCs/>
        </w:rPr>
        <w:t>MTP</w:t>
      </w:r>
      <w:r w:rsidRPr="001960FC">
        <w:rPr>
          <w:b/>
          <w:bCs/>
        </w:rPr>
        <w:t xml:space="preserve"> 1 – Project Management</w:t>
      </w:r>
    </w:p>
    <w:p w14:paraId="2F3C7BA4" w14:textId="37FCE3E9" w:rsidR="00151009" w:rsidRDefault="00151009" w:rsidP="00151009">
      <w:pPr>
        <w:ind w:left="1080"/>
      </w:pPr>
      <w:r>
        <w:t xml:space="preserve">The task involves activities required to manage the project including staff, equipment, and documentation, which can be combined with overarching the </w:t>
      </w:r>
      <w:r w:rsidR="00561A19">
        <w:t xml:space="preserve">TDP </w:t>
      </w:r>
      <w:r>
        <w:t xml:space="preserve">project management deliverables. </w:t>
      </w:r>
      <w:r w:rsidRPr="00AA26D6">
        <w:t>Th</w:t>
      </w:r>
      <w:r>
        <w:t xml:space="preserve">is may also require coordination </w:t>
      </w:r>
      <w:r w:rsidRPr="00AA26D6">
        <w:t xml:space="preserve">with any </w:t>
      </w:r>
      <w:proofErr w:type="gramStart"/>
      <w:r>
        <w:t xml:space="preserve">involved </w:t>
      </w:r>
      <w:r w:rsidRPr="00AA26D6">
        <w:t>subconsultants</w:t>
      </w:r>
      <w:proofErr w:type="gramEnd"/>
      <w:r>
        <w:t>.</w:t>
      </w:r>
      <w:r w:rsidRPr="00AA26D6">
        <w:t xml:space="preserve"> </w:t>
      </w:r>
      <w:r>
        <w:t xml:space="preserve">The consultant will identify a project lead from their team to act as the direct point of contact for the MPO project manager. </w:t>
      </w:r>
    </w:p>
    <w:p w14:paraId="3E6005DD" w14:textId="77777777" w:rsidR="00151009" w:rsidRDefault="00151009" w:rsidP="00151009">
      <w:pPr>
        <w:ind w:left="1080"/>
      </w:pPr>
    </w:p>
    <w:p w14:paraId="04CDCD79" w14:textId="77777777" w:rsidR="00151009" w:rsidRDefault="00151009" w:rsidP="00151009">
      <w:pPr>
        <w:ind w:left="1080"/>
      </w:pPr>
      <w:r>
        <w:t>The consultant should expect bi-weekly progress meetings with the MPO project manager. Additionally, the consultant should expect to prepare monthly progress reports, documentation of all travel and expense receipts, and prepare and submit invoices monthly. The progress reports will be submitted in time for the MPOs monthly TAC and Policy Board meeting agenda packets and at a minimum include:</w:t>
      </w:r>
    </w:p>
    <w:p w14:paraId="66505ACB" w14:textId="77777777" w:rsidR="00151009" w:rsidRDefault="00151009" w:rsidP="00151009">
      <w:pPr>
        <w:pStyle w:val="ListParagraph"/>
        <w:numPr>
          <w:ilvl w:val="0"/>
          <w:numId w:val="42"/>
        </w:numPr>
      </w:pPr>
      <w:r>
        <w:t>Status of individual tasks/milestones/activities</w:t>
      </w:r>
    </w:p>
    <w:p w14:paraId="33B814A9" w14:textId="77777777" w:rsidR="00151009" w:rsidRDefault="00151009" w:rsidP="00151009">
      <w:pPr>
        <w:pStyle w:val="ListParagraph"/>
        <w:numPr>
          <w:ilvl w:val="0"/>
          <w:numId w:val="42"/>
        </w:numPr>
      </w:pPr>
      <w:r>
        <w:t>Status of scope, schedule, and budget</w:t>
      </w:r>
    </w:p>
    <w:p w14:paraId="37FD54FD" w14:textId="77777777" w:rsidR="00151009" w:rsidRDefault="00151009" w:rsidP="00151009">
      <w:pPr>
        <w:pStyle w:val="ListParagraph"/>
        <w:numPr>
          <w:ilvl w:val="0"/>
          <w:numId w:val="42"/>
        </w:numPr>
      </w:pPr>
      <w:r>
        <w:t>Identification of any potential issues that may impact scope, schedule, or budget</w:t>
      </w:r>
    </w:p>
    <w:p w14:paraId="6EE0950D" w14:textId="77777777" w:rsidR="00151009" w:rsidRDefault="00151009" w:rsidP="00151009">
      <w:pPr>
        <w:ind w:left="1080"/>
      </w:pPr>
    </w:p>
    <w:p w14:paraId="422A38CA" w14:textId="0F7D4B2E" w:rsidR="00561A19" w:rsidRPr="005C288D" w:rsidRDefault="00561A19" w:rsidP="00561A19">
      <w:pPr>
        <w:ind w:left="1080"/>
        <w:rPr>
          <w:b/>
          <w:bCs/>
        </w:rPr>
      </w:pPr>
      <w:r w:rsidRPr="005C288D">
        <w:rPr>
          <w:b/>
          <w:bCs/>
        </w:rPr>
        <w:t>Deliverables</w:t>
      </w:r>
      <w:r>
        <w:rPr>
          <w:b/>
          <w:bCs/>
        </w:rPr>
        <w:t xml:space="preserve"> (which can be combined with the </w:t>
      </w:r>
      <w:r w:rsidR="00AC6B3C">
        <w:rPr>
          <w:b/>
          <w:bCs/>
        </w:rPr>
        <w:t>TDP</w:t>
      </w:r>
      <w:r>
        <w:rPr>
          <w:b/>
          <w:bCs/>
        </w:rPr>
        <w:t xml:space="preserve"> Project Management Deliverables)</w:t>
      </w:r>
      <w:r w:rsidRPr="005C288D">
        <w:rPr>
          <w:b/>
          <w:bCs/>
        </w:rPr>
        <w:t>:</w:t>
      </w:r>
    </w:p>
    <w:p w14:paraId="68D18156" w14:textId="77777777" w:rsidR="00561A19" w:rsidRDefault="00561A19" w:rsidP="00561A19">
      <w:pPr>
        <w:pStyle w:val="ListParagraph"/>
        <w:numPr>
          <w:ilvl w:val="0"/>
          <w:numId w:val="43"/>
        </w:numPr>
      </w:pPr>
      <w:r>
        <w:t>Monthly progress reports</w:t>
      </w:r>
    </w:p>
    <w:p w14:paraId="485BA5EB" w14:textId="77777777" w:rsidR="00561A19" w:rsidRDefault="00561A19" w:rsidP="00561A19">
      <w:pPr>
        <w:pStyle w:val="ListParagraph"/>
        <w:numPr>
          <w:ilvl w:val="0"/>
          <w:numId w:val="43"/>
        </w:numPr>
      </w:pPr>
      <w:r>
        <w:t xml:space="preserve">Bi-weekly meetings with the MPO project coordinator </w:t>
      </w:r>
    </w:p>
    <w:p w14:paraId="7EF914DD" w14:textId="4C9E62BB" w:rsidR="00561A19" w:rsidRDefault="00561A19" w:rsidP="00561A19">
      <w:pPr>
        <w:pStyle w:val="ListParagraph"/>
        <w:numPr>
          <w:ilvl w:val="0"/>
          <w:numId w:val="43"/>
        </w:numPr>
      </w:pPr>
      <w:r>
        <w:t>Monthly invoices detailing project expenses including but not limited to project tasks/activities by employee</w:t>
      </w:r>
      <w:r w:rsidR="00BA75B7">
        <w:t>s</w:t>
      </w:r>
      <w:r>
        <w:t xml:space="preserve"> by number of hours</w:t>
      </w:r>
    </w:p>
    <w:p w14:paraId="0E06125F" w14:textId="77777777" w:rsidR="00B05062" w:rsidRDefault="00B05062" w:rsidP="00561A19">
      <w:pPr>
        <w:ind w:left="1080"/>
      </w:pPr>
    </w:p>
    <w:p w14:paraId="53802ADA" w14:textId="413073CB" w:rsidR="003D4126" w:rsidRPr="00A83C8C" w:rsidRDefault="003234D6" w:rsidP="003D4126">
      <w:pPr>
        <w:ind w:left="1080"/>
        <w:rPr>
          <w:b/>
          <w:bCs/>
        </w:rPr>
      </w:pPr>
      <w:r>
        <w:rPr>
          <w:b/>
          <w:bCs/>
        </w:rPr>
        <w:t>MTP</w:t>
      </w:r>
      <w:r w:rsidR="003D4126" w:rsidRPr="00A83C8C">
        <w:rPr>
          <w:b/>
          <w:bCs/>
        </w:rPr>
        <w:t xml:space="preserve"> </w:t>
      </w:r>
      <w:r w:rsidR="003D4126">
        <w:rPr>
          <w:b/>
          <w:bCs/>
        </w:rPr>
        <w:t xml:space="preserve">2 - </w:t>
      </w:r>
      <w:r w:rsidR="003D4126" w:rsidRPr="00A83C8C">
        <w:rPr>
          <w:b/>
          <w:bCs/>
        </w:rPr>
        <w:t>Project Guidance</w:t>
      </w:r>
    </w:p>
    <w:p w14:paraId="76F8BCB1" w14:textId="2ED60B1C" w:rsidR="003D4126" w:rsidRDefault="003D4126" w:rsidP="003D4126">
      <w:pPr>
        <w:ind w:left="1080"/>
      </w:pPr>
      <w:r>
        <w:t xml:space="preserve">A steering committee will be used to guide the development of </w:t>
      </w:r>
      <w:proofErr w:type="gramStart"/>
      <w:r>
        <w:t xml:space="preserve">the </w:t>
      </w:r>
      <w:r w:rsidR="00CA0692">
        <w:t>MTP</w:t>
      </w:r>
      <w:proofErr w:type="gramEnd"/>
      <w:r>
        <w:t xml:space="preserve">. </w:t>
      </w:r>
      <w:r w:rsidR="00CA0692">
        <w:t xml:space="preserve">A </w:t>
      </w:r>
      <w:r>
        <w:t xml:space="preserve">subset </w:t>
      </w:r>
      <w:r w:rsidR="00CA0692">
        <w:t xml:space="preserve">of this steering committee </w:t>
      </w:r>
      <w:r>
        <w:t>or the complete compilation of the overarching MTP steering committee</w:t>
      </w:r>
      <w:r w:rsidR="009B610F">
        <w:t xml:space="preserve"> may be used </w:t>
      </w:r>
      <w:r w:rsidR="009023A0">
        <w:t>to serve the steering committee purposes of the TDP</w:t>
      </w:r>
      <w:r>
        <w:t xml:space="preserve">. The purpose of the steering committee will be to provide guidance and oversight </w:t>
      </w:r>
      <w:proofErr w:type="gramStart"/>
      <w:r>
        <w:t>in</w:t>
      </w:r>
      <w:proofErr w:type="gramEnd"/>
      <w:r>
        <w:t xml:space="preserve"> the development of the plan. </w:t>
      </w:r>
      <w:r w:rsidR="00DF4910">
        <w:t>Among other direction</w:t>
      </w:r>
      <w:r w:rsidR="00D31090">
        <w:t>s</w:t>
      </w:r>
      <w:r w:rsidR="00DF4910">
        <w:t xml:space="preserve"> provided, t</w:t>
      </w:r>
      <w:r>
        <w:t>he committee will review and provide guidance to the components of plan development prior to draft and final publication/public release. Roles and responsibilities will be established early on to</w:t>
      </w:r>
      <w:r w:rsidR="00123861">
        <w:t xml:space="preserve"> set</w:t>
      </w:r>
      <w:r>
        <w:t xml:space="preserve"> expectations for the steering committee members. The MPO staff will assist the consultant in membership composition. Meeting frequency should be expected at strategic milestones of plan development and at a minimum once every three (3) months, however</w:t>
      </w:r>
      <w:r w:rsidR="00D666A9">
        <w:t>,</w:t>
      </w:r>
      <w:r>
        <w:t xml:space="preserve"> </w:t>
      </w:r>
      <w:proofErr w:type="gramStart"/>
      <w:r>
        <w:t>could</w:t>
      </w:r>
      <w:proofErr w:type="gramEnd"/>
      <w:r>
        <w:t xml:space="preserve"> occur more frequently </w:t>
      </w:r>
      <w:proofErr w:type="gramStart"/>
      <w:r>
        <w:t>as</w:t>
      </w:r>
      <w:proofErr w:type="gramEnd"/>
      <w:r>
        <w:t xml:space="preserve"> </w:t>
      </w:r>
      <w:r w:rsidR="00291282">
        <w:t xml:space="preserve">based on available budget and need. </w:t>
      </w:r>
    </w:p>
    <w:p w14:paraId="3F6BC7CA" w14:textId="77777777" w:rsidR="003D4126" w:rsidRDefault="003D4126" w:rsidP="003D4126">
      <w:pPr>
        <w:ind w:left="1080"/>
      </w:pPr>
    </w:p>
    <w:p w14:paraId="24DC6308" w14:textId="77777777" w:rsidR="003D4126" w:rsidRPr="00883A67" w:rsidRDefault="003D4126" w:rsidP="003D4126">
      <w:pPr>
        <w:ind w:left="1080"/>
        <w:rPr>
          <w:b/>
          <w:bCs/>
        </w:rPr>
      </w:pPr>
      <w:r w:rsidRPr="00883A67">
        <w:rPr>
          <w:b/>
          <w:bCs/>
        </w:rPr>
        <w:t>Deliverables:</w:t>
      </w:r>
    </w:p>
    <w:p w14:paraId="35CFEACC" w14:textId="77777777" w:rsidR="003D4126" w:rsidRDefault="003D4126" w:rsidP="003D4126">
      <w:pPr>
        <w:pStyle w:val="ListParagraph"/>
        <w:numPr>
          <w:ilvl w:val="0"/>
          <w:numId w:val="44"/>
        </w:numPr>
      </w:pPr>
      <w:r>
        <w:t>Suggested membership</w:t>
      </w:r>
    </w:p>
    <w:p w14:paraId="046F5321" w14:textId="77777777" w:rsidR="003D4126" w:rsidRDefault="003D4126" w:rsidP="003D4126">
      <w:pPr>
        <w:pStyle w:val="ListParagraph"/>
        <w:numPr>
          <w:ilvl w:val="0"/>
          <w:numId w:val="44"/>
        </w:numPr>
      </w:pPr>
      <w:r>
        <w:lastRenderedPageBreak/>
        <w:t xml:space="preserve">Meeting facilitation </w:t>
      </w:r>
    </w:p>
    <w:p w14:paraId="3DD4C340" w14:textId="77777777" w:rsidR="003D4126" w:rsidRDefault="003D4126" w:rsidP="003D4126">
      <w:pPr>
        <w:pStyle w:val="ListParagraph"/>
        <w:numPr>
          <w:ilvl w:val="0"/>
          <w:numId w:val="44"/>
        </w:numPr>
      </w:pPr>
      <w:r>
        <w:t>Roles and responsibilities</w:t>
      </w:r>
    </w:p>
    <w:p w14:paraId="265332D0" w14:textId="77777777" w:rsidR="003D4126" w:rsidRDefault="003D4126" w:rsidP="003D4126">
      <w:pPr>
        <w:pStyle w:val="ListParagraph"/>
        <w:numPr>
          <w:ilvl w:val="0"/>
          <w:numId w:val="44"/>
        </w:numPr>
      </w:pPr>
      <w:r>
        <w:t>Development of materials presented to members</w:t>
      </w:r>
    </w:p>
    <w:p w14:paraId="60D110C1" w14:textId="77777777" w:rsidR="003D4126" w:rsidRPr="00AA26D6" w:rsidRDefault="003D4126" w:rsidP="003D4126">
      <w:pPr>
        <w:pStyle w:val="ListParagraph"/>
        <w:numPr>
          <w:ilvl w:val="0"/>
          <w:numId w:val="44"/>
        </w:numPr>
      </w:pPr>
      <w:r>
        <w:t xml:space="preserve">Documentation of meeting minutes/notes/summaries </w:t>
      </w:r>
    </w:p>
    <w:p w14:paraId="442ED3CD" w14:textId="77777777" w:rsidR="003D4126" w:rsidRDefault="003D4126" w:rsidP="00561A19">
      <w:pPr>
        <w:ind w:left="1080"/>
      </w:pPr>
    </w:p>
    <w:p w14:paraId="01B66097" w14:textId="4C15FF83" w:rsidR="00BD75DE" w:rsidRDefault="003234D6" w:rsidP="00BD75DE">
      <w:pPr>
        <w:ind w:left="1080"/>
        <w:rPr>
          <w:b/>
          <w:bCs/>
        </w:rPr>
      </w:pPr>
      <w:r>
        <w:rPr>
          <w:b/>
          <w:bCs/>
        </w:rPr>
        <w:t>MTP</w:t>
      </w:r>
      <w:r w:rsidR="00BD75DE">
        <w:rPr>
          <w:b/>
          <w:bCs/>
        </w:rPr>
        <w:t xml:space="preserve"> </w:t>
      </w:r>
      <w:r w:rsidR="00BD75DE" w:rsidRPr="00986B1A">
        <w:rPr>
          <w:b/>
          <w:bCs/>
        </w:rPr>
        <w:t>3</w:t>
      </w:r>
      <w:r w:rsidR="00BD75DE">
        <w:rPr>
          <w:b/>
          <w:bCs/>
        </w:rPr>
        <w:t xml:space="preserve"> -</w:t>
      </w:r>
      <w:r w:rsidR="00BD75DE" w:rsidRPr="00986B1A">
        <w:rPr>
          <w:b/>
          <w:bCs/>
        </w:rPr>
        <w:t xml:space="preserve"> Public Engagement</w:t>
      </w:r>
    </w:p>
    <w:p w14:paraId="4CA428DE" w14:textId="5858F5A8" w:rsidR="00BD75DE" w:rsidRDefault="00BD75DE" w:rsidP="00BD75DE">
      <w:pPr>
        <w:ind w:left="1080"/>
      </w:pPr>
      <w:r>
        <w:t xml:space="preserve">The consultant will be required to develop a public engagement plan in conjunction with the MTP as part of </w:t>
      </w:r>
      <w:proofErr w:type="gramStart"/>
      <w:r>
        <w:t>the overall plan</w:t>
      </w:r>
      <w:proofErr w:type="gramEnd"/>
      <w:r>
        <w:t xml:space="preserve"> development which should occur early in the project development process. The public engagement plan will need to be consistent with public involvement requirements identified in the Forks MPO Public Participation Plan. A public engagement process which incorporates a robust and varied </w:t>
      </w:r>
      <w:r w:rsidR="003E5977">
        <w:t>number</w:t>
      </w:r>
      <w:r>
        <w:t xml:space="preserve"> of opportunities/methods/techniques will likely be necessary to obtain meaningful public input</w:t>
      </w:r>
      <w:r w:rsidR="00B75E4B">
        <w:t xml:space="preserve"> and</w:t>
      </w:r>
      <w:r>
        <w:t xml:space="preserve"> </w:t>
      </w:r>
      <w:r w:rsidR="00B75E4B">
        <w:t>c</w:t>
      </w:r>
      <w:r>
        <w:t xml:space="preserve">ombining public involvement processes/opportunities to the extent possible with the overarching MTP public engagement process </w:t>
      </w:r>
      <w:proofErr w:type="gramStart"/>
      <w:r>
        <w:t>is encouraged</w:t>
      </w:r>
      <w:proofErr w:type="gramEnd"/>
      <w:r>
        <w:t xml:space="preserve"> to reduce overall study budget impact. </w:t>
      </w:r>
      <w:r w:rsidR="00B75E4B">
        <w:t>Public Engagemen</w:t>
      </w:r>
      <w:r w:rsidR="00CC7BEA">
        <w:t>t e</w:t>
      </w:r>
      <w:r>
        <w:t xml:space="preserve">fforts should have a presence throughout the public transportation service area. Generally, the contractor will be allowed flexibility in the public engagement process to maximize public involvement and minimize impact to study budget, however a variety of public involvement efforts have been identified in the project deliverables portion of this section, for local and state expectations. These should be considered minimum public involvement efforts a much greater level of varied public engagement efforts will be needed to meaningfully obtain input </w:t>
      </w:r>
      <w:r w:rsidR="00CC7BEA">
        <w:t xml:space="preserve">from </w:t>
      </w:r>
      <w:r>
        <w:t xml:space="preserve">the public. </w:t>
      </w:r>
    </w:p>
    <w:p w14:paraId="50C0A657" w14:textId="77777777" w:rsidR="00BD75DE" w:rsidRDefault="00BD75DE" w:rsidP="00BD75DE">
      <w:pPr>
        <w:ind w:left="1080"/>
      </w:pPr>
    </w:p>
    <w:p w14:paraId="322497A4" w14:textId="5EB67EE0" w:rsidR="00514DFF" w:rsidRPr="00130202" w:rsidRDefault="00BD75DE" w:rsidP="00130202">
      <w:pPr>
        <w:ind w:left="1080"/>
        <w:rPr>
          <w:b/>
          <w:bCs/>
        </w:rPr>
      </w:pPr>
      <w:r w:rsidRPr="00543AC0">
        <w:rPr>
          <w:b/>
          <w:bCs/>
        </w:rPr>
        <w:t>Deliverables:</w:t>
      </w:r>
    </w:p>
    <w:p w14:paraId="1415BCA1" w14:textId="77777777" w:rsidR="00A268A1" w:rsidRDefault="00A268A1" w:rsidP="00A268A1">
      <w:pPr>
        <w:pStyle w:val="ListParagraph"/>
        <w:numPr>
          <w:ilvl w:val="0"/>
          <w:numId w:val="45"/>
        </w:numPr>
      </w:pPr>
      <w:r>
        <w:t>Public Engagement Plan in conjunction with MTP overarching Public Engagement Plan</w:t>
      </w:r>
    </w:p>
    <w:p w14:paraId="20F21DDE" w14:textId="77777777" w:rsidR="00A268A1" w:rsidRDefault="00A268A1" w:rsidP="00A268A1">
      <w:pPr>
        <w:pStyle w:val="ListParagraph"/>
        <w:numPr>
          <w:ilvl w:val="0"/>
          <w:numId w:val="45"/>
        </w:numPr>
      </w:pPr>
      <w:r>
        <w:t>Development of materials, surveys, website content, and other elements that may be used in the public engagement process</w:t>
      </w:r>
    </w:p>
    <w:p w14:paraId="03709C07" w14:textId="77777777" w:rsidR="00A268A1" w:rsidRDefault="00A268A1" w:rsidP="00A268A1">
      <w:pPr>
        <w:pStyle w:val="ListParagraph"/>
        <w:numPr>
          <w:ilvl w:val="0"/>
          <w:numId w:val="45"/>
        </w:numPr>
      </w:pPr>
      <w:r>
        <w:t>Provide a point of contact for public comments and reaction to questions from the public</w:t>
      </w:r>
    </w:p>
    <w:p w14:paraId="121E6BDF" w14:textId="77777777" w:rsidR="00A268A1" w:rsidRDefault="00A268A1" w:rsidP="00A268A1">
      <w:pPr>
        <w:pStyle w:val="ListParagraph"/>
        <w:numPr>
          <w:ilvl w:val="0"/>
          <w:numId w:val="45"/>
        </w:numPr>
      </w:pPr>
      <w:r>
        <w:t xml:space="preserve">Facilitation of public meetings/focus groups </w:t>
      </w:r>
    </w:p>
    <w:p w14:paraId="341D0DBF" w14:textId="77777777" w:rsidR="00A268A1" w:rsidRPr="00986B1A" w:rsidRDefault="00A268A1" w:rsidP="00A268A1">
      <w:pPr>
        <w:pStyle w:val="ListParagraph"/>
        <w:numPr>
          <w:ilvl w:val="0"/>
          <w:numId w:val="45"/>
        </w:numPr>
      </w:pPr>
      <w:r>
        <w:t>Public meeting/hearing facilitation and/or presentation</w:t>
      </w:r>
    </w:p>
    <w:p w14:paraId="59A53A04" w14:textId="32BC7EA7" w:rsidR="00A268A1" w:rsidRDefault="00A268A1" w:rsidP="00A268A1">
      <w:pPr>
        <w:pStyle w:val="ListParagraph"/>
        <w:numPr>
          <w:ilvl w:val="0"/>
          <w:numId w:val="45"/>
        </w:numPr>
      </w:pPr>
      <w:r>
        <w:t xml:space="preserve">A minimum of three (3) </w:t>
      </w:r>
      <w:proofErr w:type="gramStart"/>
      <w:r>
        <w:t>general public</w:t>
      </w:r>
      <w:proofErr w:type="gramEnd"/>
      <w:r>
        <w:t xml:space="preserve"> meetings</w:t>
      </w:r>
    </w:p>
    <w:p w14:paraId="32AF9F4B" w14:textId="77777777" w:rsidR="00A268A1" w:rsidRDefault="00A268A1" w:rsidP="00A268A1">
      <w:pPr>
        <w:pStyle w:val="ListParagraph"/>
        <w:numPr>
          <w:ilvl w:val="1"/>
          <w:numId w:val="45"/>
        </w:numPr>
      </w:pPr>
      <w:r>
        <w:t>First to listen and gather information</w:t>
      </w:r>
    </w:p>
    <w:p w14:paraId="167ED30B" w14:textId="77777777" w:rsidR="00A268A1" w:rsidRDefault="00A268A1" w:rsidP="00A268A1">
      <w:pPr>
        <w:pStyle w:val="ListParagraph"/>
        <w:numPr>
          <w:ilvl w:val="1"/>
          <w:numId w:val="45"/>
        </w:numPr>
      </w:pPr>
      <w:r>
        <w:t>Second as an update to the overall MTP and to present a draft TDP</w:t>
      </w:r>
    </w:p>
    <w:p w14:paraId="1A731BD3" w14:textId="77777777" w:rsidR="00A268A1" w:rsidRDefault="00A268A1" w:rsidP="00A268A1">
      <w:pPr>
        <w:pStyle w:val="ListParagraph"/>
        <w:numPr>
          <w:ilvl w:val="1"/>
          <w:numId w:val="45"/>
        </w:numPr>
      </w:pPr>
      <w:r>
        <w:t>Third to present the draft MTP</w:t>
      </w:r>
    </w:p>
    <w:p w14:paraId="4CFF246D" w14:textId="77777777" w:rsidR="00A268A1" w:rsidRDefault="00A268A1" w:rsidP="00A268A1">
      <w:pPr>
        <w:pStyle w:val="ListParagraph"/>
        <w:numPr>
          <w:ilvl w:val="1"/>
          <w:numId w:val="45"/>
        </w:numPr>
      </w:pPr>
      <w:r>
        <w:t>These meetings could occur in conjunction with the other meetings associated with the overarching MTP public engagement process</w:t>
      </w:r>
    </w:p>
    <w:p w14:paraId="73253AF8" w14:textId="3B4ACDA3" w:rsidR="00A268A1" w:rsidRPr="00237DD8" w:rsidRDefault="00A268A1" w:rsidP="00A268A1">
      <w:pPr>
        <w:pStyle w:val="ListParagraph"/>
        <w:numPr>
          <w:ilvl w:val="0"/>
          <w:numId w:val="45"/>
        </w:numPr>
      </w:pPr>
      <w:r w:rsidRPr="00237DD8">
        <w:t>One (1) NDDOT Management Presentation prior to consideration of adoption by the local jurisdictions and the MPO TAC and Policy Board</w:t>
      </w:r>
      <w:r w:rsidR="00B17081" w:rsidRPr="00237DD8">
        <w:t xml:space="preserve"> which could be conducted in-person or remotely</w:t>
      </w:r>
    </w:p>
    <w:p w14:paraId="5895B75B" w14:textId="367EB388" w:rsidR="004D70A3" w:rsidRPr="00237DD8" w:rsidRDefault="004D70A3" w:rsidP="00A268A1">
      <w:pPr>
        <w:pStyle w:val="ListParagraph"/>
        <w:numPr>
          <w:ilvl w:val="0"/>
          <w:numId w:val="45"/>
        </w:numPr>
      </w:pPr>
      <w:r w:rsidRPr="00237DD8">
        <w:t>One (1) MNDOT Management Presentation prior to consideration of adoption by the local jurisdiction and the MPO TAC and Policy Board</w:t>
      </w:r>
      <w:r w:rsidR="00B17081" w:rsidRPr="00237DD8">
        <w:t xml:space="preserve"> which could be conducted in person or remotely</w:t>
      </w:r>
    </w:p>
    <w:p w14:paraId="6AAC7E53" w14:textId="77777777" w:rsidR="00B52961" w:rsidRPr="00237DD8" w:rsidRDefault="00A268A1" w:rsidP="00A268A1">
      <w:pPr>
        <w:pStyle w:val="ListParagraph"/>
        <w:numPr>
          <w:ilvl w:val="0"/>
          <w:numId w:val="45"/>
        </w:numPr>
      </w:pPr>
      <w:r w:rsidRPr="00237DD8">
        <w:t xml:space="preserve">A minimum of </w:t>
      </w:r>
      <w:r w:rsidR="00D275B2" w:rsidRPr="00237DD8">
        <w:t>two</w:t>
      </w:r>
      <w:r w:rsidRPr="00237DD8">
        <w:t xml:space="preserve"> (</w:t>
      </w:r>
      <w:r w:rsidR="00D275B2" w:rsidRPr="00237DD8">
        <w:t>2</w:t>
      </w:r>
      <w:r w:rsidRPr="00237DD8">
        <w:t>)</w:t>
      </w:r>
      <w:r w:rsidR="00D275B2" w:rsidRPr="00237DD8">
        <w:t xml:space="preserve"> sets of</w:t>
      </w:r>
      <w:r w:rsidRPr="00237DD8">
        <w:t xml:space="preserve"> presentations to each of the councils of the cities of Grand Forks and East Grand Forks and Grand Forks and Polk counties</w:t>
      </w:r>
    </w:p>
    <w:p w14:paraId="76541FF8" w14:textId="198345D4" w:rsidR="00A268A1" w:rsidRPr="00237DD8" w:rsidRDefault="00B52961" w:rsidP="00B52961">
      <w:pPr>
        <w:pStyle w:val="ListParagraph"/>
        <w:numPr>
          <w:ilvl w:val="1"/>
          <w:numId w:val="45"/>
        </w:numPr>
      </w:pPr>
      <w:r w:rsidRPr="00237DD8">
        <w:t xml:space="preserve">The initial appearance should </w:t>
      </w:r>
      <w:r w:rsidR="00A268A1" w:rsidRPr="00237DD8">
        <w:t>introduce the plan and obtain initial feedback</w:t>
      </w:r>
    </w:p>
    <w:p w14:paraId="00925E87" w14:textId="0A6F9979" w:rsidR="00B52961" w:rsidRPr="00237DD8" w:rsidRDefault="00B52961" w:rsidP="00B52961">
      <w:pPr>
        <w:pStyle w:val="ListParagraph"/>
        <w:numPr>
          <w:ilvl w:val="1"/>
          <w:numId w:val="45"/>
        </w:numPr>
      </w:pPr>
      <w:r w:rsidRPr="00237DD8">
        <w:t xml:space="preserve">The second appearance should </w:t>
      </w:r>
      <w:r w:rsidR="00B56D61" w:rsidRPr="00237DD8">
        <w:t xml:space="preserve">provide an update and provide information on the financially constrained </w:t>
      </w:r>
      <w:r w:rsidR="006F085D" w:rsidRPr="00237DD8">
        <w:t>process used to prioritize projects</w:t>
      </w:r>
    </w:p>
    <w:p w14:paraId="145B723F" w14:textId="15244089" w:rsidR="00A268A1" w:rsidRPr="00237DD8" w:rsidRDefault="00A268A1" w:rsidP="00A268A1">
      <w:pPr>
        <w:pStyle w:val="ListParagraph"/>
        <w:numPr>
          <w:ilvl w:val="1"/>
          <w:numId w:val="45"/>
        </w:numPr>
      </w:pPr>
      <w:r w:rsidRPr="00237DD8">
        <w:lastRenderedPageBreak/>
        <w:t>These should occur in conjunction with necessary city council TDP meetings</w:t>
      </w:r>
      <w:r w:rsidR="006F085D" w:rsidRPr="00237DD8">
        <w:t xml:space="preserve"> </w:t>
      </w:r>
    </w:p>
    <w:p w14:paraId="133A85D3" w14:textId="56210AC4" w:rsidR="00A268A1" w:rsidRPr="00237DD8" w:rsidRDefault="00A268A1" w:rsidP="00A268A1">
      <w:pPr>
        <w:pStyle w:val="ListParagraph"/>
        <w:numPr>
          <w:ilvl w:val="0"/>
          <w:numId w:val="45"/>
        </w:numPr>
      </w:pPr>
      <w:r w:rsidRPr="00237DD8">
        <w:t xml:space="preserve">A minimum of </w:t>
      </w:r>
      <w:r w:rsidR="00F92773" w:rsidRPr="00237DD8">
        <w:t xml:space="preserve">one (1) </w:t>
      </w:r>
      <w:r w:rsidR="00BA4858" w:rsidRPr="00237DD8">
        <w:t xml:space="preserve">set of </w:t>
      </w:r>
      <w:proofErr w:type="gramStart"/>
      <w:r w:rsidRPr="00237DD8">
        <w:t>presentation</w:t>
      </w:r>
      <w:proofErr w:type="gramEnd"/>
      <w:r w:rsidRPr="00237DD8">
        <w:t xml:space="preserve"> to each of the planning and zoning commissions and councils for the cities of Grand Forks and East Grand Forks and Grand Forks and Polk counties</w:t>
      </w:r>
      <w:r w:rsidR="00DC5DA9" w:rsidRPr="00237DD8">
        <w:t xml:space="preserve"> for consideration of </w:t>
      </w:r>
      <w:r w:rsidR="007630E4" w:rsidRPr="00237DD8">
        <w:t>recommendation of a</w:t>
      </w:r>
      <w:r w:rsidR="00BA4858" w:rsidRPr="00237DD8">
        <w:t>doption</w:t>
      </w:r>
    </w:p>
    <w:p w14:paraId="22C26C17" w14:textId="16BE3280" w:rsidR="00BA4858" w:rsidRPr="00237DD8" w:rsidRDefault="00BA4858" w:rsidP="00A268A1">
      <w:pPr>
        <w:pStyle w:val="ListParagraph"/>
        <w:numPr>
          <w:ilvl w:val="0"/>
          <w:numId w:val="45"/>
        </w:numPr>
      </w:pPr>
      <w:r w:rsidRPr="00237DD8">
        <w:t xml:space="preserve">A minimum of </w:t>
      </w:r>
      <w:r w:rsidR="0039186F" w:rsidRPr="00237DD8">
        <w:t xml:space="preserve">one </w:t>
      </w:r>
      <w:r w:rsidRPr="00237DD8">
        <w:t>(1) set of presentation</w:t>
      </w:r>
      <w:r w:rsidR="0039186F" w:rsidRPr="00237DD8">
        <w:t xml:space="preserve">s to the councils of the cities of Grand Forks and East Grand Forks and Grand Forks and Polk counties for </w:t>
      </w:r>
      <w:r w:rsidR="009F28FC" w:rsidRPr="00237DD8">
        <w:t xml:space="preserve">consideration of </w:t>
      </w:r>
      <w:r w:rsidR="0039186F" w:rsidRPr="00237DD8">
        <w:t xml:space="preserve">adoption with one (1) additional set </w:t>
      </w:r>
      <w:r w:rsidR="00D275B2" w:rsidRPr="00237DD8">
        <w:t>budgeted and used only if necessary</w:t>
      </w:r>
    </w:p>
    <w:p w14:paraId="472CA633" w14:textId="77777777" w:rsidR="00A268A1" w:rsidRDefault="00A268A1" w:rsidP="00A268A1">
      <w:pPr>
        <w:pStyle w:val="ListParagraph"/>
        <w:numPr>
          <w:ilvl w:val="0"/>
          <w:numId w:val="45"/>
        </w:numPr>
      </w:pPr>
      <w:r>
        <w:t>A minimum of five (5) sets of presentations to the MPO TAC and Policy Board</w:t>
      </w:r>
    </w:p>
    <w:p w14:paraId="16F0D55C" w14:textId="77777777" w:rsidR="00A268A1" w:rsidRDefault="00A268A1" w:rsidP="00A268A1">
      <w:pPr>
        <w:pStyle w:val="ListParagraph"/>
        <w:numPr>
          <w:ilvl w:val="1"/>
          <w:numId w:val="45"/>
        </w:numPr>
      </w:pPr>
      <w:r>
        <w:t>First to introduce the plan and obtain feedback</w:t>
      </w:r>
    </w:p>
    <w:p w14:paraId="3035F44D" w14:textId="77777777" w:rsidR="00A268A1" w:rsidRDefault="00A268A1" w:rsidP="00A268A1">
      <w:pPr>
        <w:pStyle w:val="ListParagraph"/>
        <w:numPr>
          <w:ilvl w:val="1"/>
          <w:numId w:val="45"/>
        </w:numPr>
      </w:pPr>
      <w:r>
        <w:t>Second as an update on the process</w:t>
      </w:r>
    </w:p>
    <w:p w14:paraId="20EA0B8F" w14:textId="77777777" w:rsidR="00A268A1" w:rsidRDefault="00A268A1" w:rsidP="00A268A1">
      <w:pPr>
        <w:pStyle w:val="ListParagraph"/>
        <w:numPr>
          <w:ilvl w:val="1"/>
          <w:numId w:val="45"/>
        </w:numPr>
      </w:pPr>
      <w:proofErr w:type="gramStart"/>
      <w:r>
        <w:t>Third</w:t>
      </w:r>
      <w:proofErr w:type="gramEnd"/>
      <w:r>
        <w:t xml:space="preserve"> to present the draft TDP for consideration of adoption and update on the MTP</w:t>
      </w:r>
    </w:p>
    <w:p w14:paraId="4DCA41C4" w14:textId="77777777" w:rsidR="00A268A1" w:rsidRDefault="00A268A1" w:rsidP="00A268A1">
      <w:pPr>
        <w:pStyle w:val="ListParagraph"/>
        <w:numPr>
          <w:ilvl w:val="1"/>
          <w:numId w:val="45"/>
        </w:numPr>
      </w:pPr>
      <w:r>
        <w:t>Fourth to present an update on the MTP</w:t>
      </w:r>
    </w:p>
    <w:p w14:paraId="6349EDB8" w14:textId="77777777" w:rsidR="00A268A1" w:rsidRDefault="00A268A1" w:rsidP="00A268A1">
      <w:pPr>
        <w:pStyle w:val="ListParagraph"/>
        <w:numPr>
          <w:ilvl w:val="1"/>
          <w:numId w:val="45"/>
        </w:numPr>
      </w:pPr>
      <w:r>
        <w:t>Fifth to present the draft MTP for consideration of adoption</w:t>
      </w:r>
    </w:p>
    <w:p w14:paraId="26318CCE" w14:textId="77777777" w:rsidR="00A268A1" w:rsidRDefault="00A268A1" w:rsidP="00A268A1">
      <w:pPr>
        <w:pStyle w:val="ListParagraph"/>
        <w:numPr>
          <w:ilvl w:val="1"/>
          <w:numId w:val="45"/>
        </w:numPr>
      </w:pPr>
      <w:r>
        <w:t>These meetings could occur in conjunction with the other meetings associated with the TDP</w:t>
      </w:r>
    </w:p>
    <w:p w14:paraId="39C1F677" w14:textId="1D3CCC37" w:rsidR="00D74AF6" w:rsidRDefault="00A268A1" w:rsidP="00237DD8">
      <w:pPr>
        <w:pStyle w:val="ListParagraph"/>
        <w:numPr>
          <w:ilvl w:val="0"/>
          <w:numId w:val="45"/>
        </w:numPr>
      </w:pPr>
      <w:r>
        <w:t>Documentation of public engagement process, resulting comments/suggestions/questions from the process, and summary of how comments/suggestions/questions were considered/addressed in the final document or otherwise</w:t>
      </w:r>
    </w:p>
    <w:p w14:paraId="1D028333" w14:textId="77777777" w:rsidR="00237DD8" w:rsidRPr="00237DD8" w:rsidRDefault="00237DD8" w:rsidP="00237DD8">
      <w:pPr>
        <w:ind w:left="0"/>
      </w:pPr>
    </w:p>
    <w:p w14:paraId="7B249FB7" w14:textId="50B13819" w:rsidR="00AC6B3C" w:rsidRPr="004D4D59" w:rsidRDefault="0011323A" w:rsidP="00561A19">
      <w:pPr>
        <w:ind w:left="1080"/>
        <w:rPr>
          <w:b/>
          <w:bCs/>
        </w:rPr>
      </w:pPr>
      <w:r w:rsidRPr="004D4D59">
        <w:rPr>
          <w:b/>
          <w:bCs/>
        </w:rPr>
        <w:t xml:space="preserve">MTP 4 </w:t>
      </w:r>
      <w:r w:rsidR="004D4D59" w:rsidRPr="004D4D59">
        <w:rPr>
          <w:b/>
          <w:bCs/>
        </w:rPr>
        <w:t>–</w:t>
      </w:r>
      <w:r w:rsidRPr="004D4D59">
        <w:rPr>
          <w:b/>
          <w:bCs/>
        </w:rPr>
        <w:t xml:space="preserve"> </w:t>
      </w:r>
      <w:r w:rsidR="004D4D59" w:rsidRPr="004D4D59">
        <w:rPr>
          <w:b/>
          <w:bCs/>
        </w:rPr>
        <w:t>Existing Conditions</w:t>
      </w:r>
    </w:p>
    <w:p w14:paraId="192E4AED" w14:textId="67CA0A70" w:rsidR="00303B8C" w:rsidRDefault="00F15B7F" w:rsidP="00561A19">
      <w:pPr>
        <w:ind w:left="1080"/>
      </w:pPr>
      <w:r>
        <w:t xml:space="preserve">This </w:t>
      </w:r>
      <w:r w:rsidR="00D97725">
        <w:t xml:space="preserve">effort will reflect the current conditions of the multimodal transportation system in the MPO study area. </w:t>
      </w:r>
      <w:r w:rsidR="00A60E1D">
        <w:t>Elements may include but will not be limited to:</w:t>
      </w:r>
    </w:p>
    <w:p w14:paraId="79F189D2" w14:textId="69C71340" w:rsidR="00A60E1D" w:rsidRDefault="00BE7407" w:rsidP="00A60E1D">
      <w:pPr>
        <w:pStyle w:val="ListParagraph"/>
        <w:numPr>
          <w:ilvl w:val="0"/>
          <w:numId w:val="49"/>
        </w:numPr>
      </w:pPr>
      <w:r>
        <w:t xml:space="preserve">Level of service </w:t>
      </w:r>
      <w:r w:rsidR="0067786F">
        <w:t>analysis</w:t>
      </w:r>
    </w:p>
    <w:p w14:paraId="37EB9330" w14:textId="361BC87F" w:rsidR="0067786F" w:rsidRDefault="0067786F" w:rsidP="00A60E1D">
      <w:pPr>
        <w:pStyle w:val="ListParagraph"/>
        <w:numPr>
          <w:ilvl w:val="0"/>
          <w:numId w:val="49"/>
        </w:numPr>
      </w:pPr>
      <w:r>
        <w:t>Inventory of environmental</w:t>
      </w:r>
      <w:r w:rsidR="00222ED6">
        <w:t xml:space="preserve"> (natural and cultural</w:t>
      </w:r>
      <w:r w:rsidR="00C663DF">
        <w:t>)</w:t>
      </w:r>
      <w:r>
        <w:t xml:space="preserve"> </w:t>
      </w:r>
      <w:r w:rsidR="00222ED6">
        <w:t>and socio-economic conditions</w:t>
      </w:r>
    </w:p>
    <w:p w14:paraId="6820A7EE" w14:textId="736DA8C8" w:rsidR="00C663DF" w:rsidRDefault="00DB7B8E" w:rsidP="00A60E1D">
      <w:pPr>
        <w:pStyle w:val="ListParagraph"/>
        <w:numPr>
          <w:ilvl w:val="0"/>
          <w:numId w:val="49"/>
        </w:numPr>
      </w:pPr>
      <w:r>
        <w:t>Freight demands in the area</w:t>
      </w:r>
    </w:p>
    <w:p w14:paraId="1F7C7782" w14:textId="70774420" w:rsidR="002C7104" w:rsidRDefault="006F5376" w:rsidP="002C7104">
      <w:pPr>
        <w:pStyle w:val="ListParagraph"/>
        <w:numPr>
          <w:ilvl w:val="0"/>
          <w:numId w:val="49"/>
        </w:numPr>
      </w:pPr>
      <w:r>
        <w:t xml:space="preserve">Existing bicycle and pedestrian </w:t>
      </w:r>
      <w:r w:rsidR="002C7104">
        <w:t xml:space="preserve">facilities </w:t>
      </w:r>
    </w:p>
    <w:p w14:paraId="23E68C0D" w14:textId="0157A9D6" w:rsidR="007775FD" w:rsidRDefault="007775FD" w:rsidP="007775FD">
      <w:pPr>
        <w:pStyle w:val="ListParagraph"/>
        <w:numPr>
          <w:ilvl w:val="1"/>
          <w:numId w:val="49"/>
        </w:numPr>
      </w:pPr>
      <w:r>
        <w:t xml:space="preserve">Including but not limited to identification of recent projects </w:t>
      </w:r>
      <w:r w:rsidR="00E134F2">
        <w:t xml:space="preserve">completed or programmed </w:t>
      </w:r>
      <w:r>
        <w:t xml:space="preserve">since last </w:t>
      </w:r>
      <w:r w:rsidR="00E952F3">
        <w:t>bicycle and pedestrian planning effort</w:t>
      </w:r>
    </w:p>
    <w:p w14:paraId="40C4526E" w14:textId="76EF7E36" w:rsidR="00E952F3" w:rsidRDefault="00E952F3" w:rsidP="007775FD">
      <w:pPr>
        <w:pStyle w:val="ListParagraph"/>
        <w:numPr>
          <w:ilvl w:val="1"/>
          <w:numId w:val="49"/>
        </w:numPr>
      </w:pPr>
      <w:r>
        <w:t>Identification of existing systemwide gaps</w:t>
      </w:r>
    </w:p>
    <w:p w14:paraId="27DDA4F6" w14:textId="2945B8D5" w:rsidR="002C7104" w:rsidRDefault="002C7104" w:rsidP="002C7104">
      <w:pPr>
        <w:pStyle w:val="ListParagraph"/>
        <w:numPr>
          <w:ilvl w:val="0"/>
          <w:numId w:val="49"/>
        </w:numPr>
      </w:pPr>
      <w:r>
        <w:t xml:space="preserve">Inclusion of </w:t>
      </w:r>
      <w:r w:rsidR="00A41B32">
        <w:t>public transportation system, equipment, and facilities from work completed in association with the TDP</w:t>
      </w:r>
    </w:p>
    <w:p w14:paraId="6AF7B761" w14:textId="2DFB02B1" w:rsidR="004E7F98" w:rsidRDefault="004E7F98" w:rsidP="002C7104">
      <w:pPr>
        <w:pStyle w:val="ListParagraph"/>
        <w:numPr>
          <w:ilvl w:val="0"/>
          <w:numId w:val="49"/>
        </w:numPr>
      </w:pPr>
      <w:r>
        <w:t>Crash history</w:t>
      </w:r>
      <w:r w:rsidR="00B57C27">
        <w:t xml:space="preserve"> by location</w:t>
      </w:r>
    </w:p>
    <w:p w14:paraId="538D6DD9" w14:textId="64F59F0B" w:rsidR="00B57C27" w:rsidRDefault="00B57C27" w:rsidP="002C7104">
      <w:pPr>
        <w:pStyle w:val="ListParagraph"/>
        <w:numPr>
          <w:ilvl w:val="0"/>
          <w:numId w:val="49"/>
        </w:numPr>
      </w:pPr>
      <w:r>
        <w:t>Documentation of pavement</w:t>
      </w:r>
      <w:r w:rsidR="00476DC0">
        <w:t xml:space="preserve"> and bridge</w:t>
      </w:r>
      <w:r>
        <w:t xml:space="preserve"> conditions</w:t>
      </w:r>
      <w:r w:rsidR="007876BE">
        <w:t xml:space="preserve"> as available</w:t>
      </w:r>
    </w:p>
    <w:p w14:paraId="6C4C6956" w14:textId="77777777" w:rsidR="0008364F" w:rsidRDefault="0008364F" w:rsidP="0008364F">
      <w:pPr>
        <w:ind w:left="0"/>
      </w:pPr>
    </w:p>
    <w:p w14:paraId="0C4D098F" w14:textId="77777777" w:rsidR="008E5A33" w:rsidRPr="008E5A33" w:rsidRDefault="00937C33" w:rsidP="00937C33">
      <w:pPr>
        <w:ind w:left="1080"/>
        <w:rPr>
          <w:b/>
          <w:bCs/>
        </w:rPr>
      </w:pPr>
      <w:r w:rsidRPr="008E5A33">
        <w:rPr>
          <w:b/>
          <w:bCs/>
        </w:rPr>
        <w:t xml:space="preserve">Deliverables: </w:t>
      </w:r>
    </w:p>
    <w:p w14:paraId="35BEB867" w14:textId="2D472487" w:rsidR="00A7262E" w:rsidRDefault="00937C33" w:rsidP="00A7262E">
      <w:pPr>
        <w:pStyle w:val="ListParagraph"/>
        <w:numPr>
          <w:ilvl w:val="0"/>
          <w:numId w:val="50"/>
        </w:numPr>
      </w:pPr>
      <w:r>
        <w:t xml:space="preserve">A technical memorandum or chapter draft </w:t>
      </w:r>
      <w:r w:rsidR="006E3BBE">
        <w:t xml:space="preserve">documenting multimodal existing conditions </w:t>
      </w:r>
      <w:r w:rsidR="008E5A33">
        <w:t>for the MPO study area</w:t>
      </w:r>
    </w:p>
    <w:p w14:paraId="6F0348BA" w14:textId="35072F10" w:rsidR="008E5A33" w:rsidRPr="00DF2EED" w:rsidRDefault="0027223C" w:rsidP="008E5A33">
      <w:pPr>
        <w:pStyle w:val="ListParagraph"/>
        <w:numPr>
          <w:ilvl w:val="0"/>
          <w:numId w:val="50"/>
        </w:numPr>
      </w:pPr>
      <w:r w:rsidRPr="00DF2EED">
        <w:t>Recommendations for future transportation studies/plans that could be considered for the MPO to pursue</w:t>
      </w:r>
    </w:p>
    <w:p w14:paraId="2254B923" w14:textId="77777777" w:rsidR="00352293" w:rsidRDefault="00352293" w:rsidP="00352293">
      <w:pPr>
        <w:ind w:left="0"/>
        <w:rPr>
          <w:b/>
          <w:bCs/>
        </w:rPr>
      </w:pPr>
    </w:p>
    <w:p w14:paraId="273F9F31" w14:textId="51AE8288" w:rsidR="00352293" w:rsidRDefault="00352293" w:rsidP="0064518D">
      <w:pPr>
        <w:ind w:left="1080"/>
        <w:rPr>
          <w:b/>
          <w:bCs/>
        </w:rPr>
      </w:pPr>
      <w:r>
        <w:rPr>
          <w:b/>
          <w:bCs/>
        </w:rPr>
        <w:t>MTP</w:t>
      </w:r>
      <w:r w:rsidR="00CC709A">
        <w:rPr>
          <w:b/>
          <w:bCs/>
        </w:rPr>
        <w:t xml:space="preserve"> 5 – Goals</w:t>
      </w:r>
      <w:r w:rsidR="007105D7">
        <w:rPr>
          <w:b/>
          <w:bCs/>
        </w:rPr>
        <w:t xml:space="preserve">, </w:t>
      </w:r>
      <w:r w:rsidR="00CC709A">
        <w:rPr>
          <w:b/>
          <w:bCs/>
        </w:rPr>
        <w:t>Objectives</w:t>
      </w:r>
      <w:r w:rsidR="007105D7">
        <w:rPr>
          <w:b/>
          <w:bCs/>
        </w:rPr>
        <w:t>, Policies, and Performance Measures</w:t>
      </w:r>
    </w:p>
    <w:p w14:paraId="43592082" w14:textId="6D53E376" w:rsidR="00CC709A" w:rsidRDefault="00C2188C" w:rsidP="0064518D">
      <w:pPr>
        <w:ind w:left="1080"/>
      </w:pPr>
      <w:r>
        <w:t xml:space="preserve">This effort will identify the future desired outcome of the areas transportation system. </w:t>
      </w:r>
      <w:r w:rsidR="003F24C0">
        <w:t xml:space="preserve">A review of the existing goals, objectives, policies, and performance measures will need to be performed </w:t>
      </w:r>
      <w:r w:rsidR="006B6B9C">
        <w:t xml:space="preserve">and updated as necessary. </w:t>
      </w:r>
      <w:r w:rsidR="00775A0B">
        <w:t xml:space="preserve">Consideration should be given to the practicality and reasonableness (including data acquisition) of performance measures for the region. </w:t>
      </w:r>
    </w:p>
    <w:p w14:paraId="71767C34" w14:textId="77777777" w:rsidR="00D957BF" w:rsidRDefault="00D957BF" w:rsidP="0064518D">
      <w:pPr>
        <w:ind w:left="1080"/>
      </w:pPr>
    </w:p>
    <w:p w14:paraId="628E5095" w14:textId="3622E768" w:rsidR="00D95EFC" w:rsidRPr="00A942DF" w:rsidRDefault="00D95EFC" w:rsidP="0064518D">
      <w:pPr>
        <w:ind w:left="1080"/>
        <w:rPr>
          <w:b/>
          <w:bCs/>
        </w:rPr>
      </w:pPr>
      <w:r w:rsidRPr="00A942DF">
        <w:rPr>
          <w:b/>
          <w:bCs/>
        </w:rPr>
        <w:t>Deliverables:</w:t>
      </w:r>
    </w:p>
    <w:p w14:paraId="4D1BC977" w14:textId="662A467E" w:rsidR="00D95EFC" w:rsidRPr="00C2188C" w:rsidRDefault="00D95EFC" w:rsidP="00D95EFC">
      <w:pPr>
        <w:pStyle w:val="ListParagraph"/>
        <w:numPr>
          <w:ilvl w:val="0"/>
          <w:numId w:val="52"/>
        </w:numPr>
      </w:pPr>
      <w:r>
        <w:t>A technical memorandum or chapter draft</w:t>
      </w:r>
      <w:r w:rsidR="00A942DF">
        <w:t xml:space="preserve"> with updated goals, objectives, policies, and performance measures. </w:t>
      </w:r>
    </w:p>
    <w:p w14:paraId="4F8AC468" w14:textId="77777777" w:rsidR="00CC709A" w:rsidRDefault="00CC709A" w:rsidP="0064518D">
      <w:pPr>
        <w:ind w:left="1080"/>
        <w:rPr>
          <w:b/>
          <w:bCs/>
        </w:rPr>
      </w:pPr>
    </w:p>
    <w:p w14:paraId="7F37FA18" w14:textId="3167E9CF" w:rsidR="0064518D" w:rsidRPr="00B53EDC" w:rsidRDefault="0064518D" w:rsidP="0064518D">
      <w:pPr>
        <w:ind w:left="1080"/>
        <w:rPr>
          <w:b/>
          <w:bCs/>
        </w:rPr>
      </w:pPr>
      <w:r w:rsidRPr="00B53EDC">
        <w:rPr>
          <w:b/>
          <w:bCs/>
        </w:rPr>
        <w:t xml:space="preserve">MTP </w:t>
      </w:r>
      <w:r w:rsidR="00CC709A">
        <w:rPr>
          <w:b/>
          <w:bCs/>
        </w:rPr>
        <w:t>6</w:t>
      </w:r>
      <w:r w:rsidRPr="00B53EDC">
        <w:rPr>
          <w:b/>
          <w:bCs/>
        </w:rPr>
        <w:t xml:space="preserve"> </w:t>
      </w:r>
      <w:r w:rsidR="00B53EDC" w:rsidRPr="00B53EDC">
        <w:rPr>
          <w:b/>
          <w:bCs/>
        </w:rPr>
        <w:t>–</w:t>
      </w:r>
      <w:r w:rsidRPr="00B53EDC">
        <w:rPr>
          <w:b/>
          <w:bCs/>
        </w:rPr>
        <w:t xml:space="preserve"> </w:t>
      </w:r>
      <w:r w:rsidR="00B53EDC" w:rsidRPr="00B53EDC">
        <w:rPr>
          <w:b/>
          <w:bCs/>
        </w:rPr>
        <w:t>Existing Plus Committed Future Network Conditions</w:t>
      </w:r>
    </w:p>
    <w:p w14:paraId="2C98FB50" w14:textId="11C27F38" w:rsidR="00B53EDC" w:rsidRDefault="00117585" w:rsidP="0064518D">
      <w:pPr>
        <w:ind w:left="1080"/>
      </w:pPr>
      <w:r>
        <w:t>This effort will ana</w:t>
      </w:r>
      <w:r w:rsidR="000B63C4">
        <w:t>lyze forecasted 2040 and 2055 traffic conditions within the MPO study area.</w:t>
      </w:r>
      <w:r w:rsidR="00DF0034">
        <w:t xml:space="preserve"> The existing roadway network will be considered </w:t>
      </w:r>
      <w:r w:rsidR="00D64AEE">
        <w:t xml:space="preserve">with “committed” or future programmed transportation projects. </w:t>
      </w:r>
      <w:r w:rsidR="008978FA">
        <w:t xml:space="preserve">Committed transportation projects may be identified in approved Transportation Improvement Programs (TIPs) and/or Capital Improvement </w:t>
      </w:r>
      <w:r w:rsidR="009B6CF0">
        <w:t xml:space="preserve">Plans (CIPs). </w:t>
      </w:r>
      <w:r w:rsidR="002E0CA9">
        <w:t>The City of Grand Forks have a dedicated sales tax for transportation improvements</w:t>
      </w:r>
      <w:r w:rsidR="00D74AF6">
        <w:t>,</w:t>
      </w:r>
      <w:r w:rsidR="002E0CA9">
        <w:t xml:space="preserve"> and </w:t>
      </w:r>
      <w:r w:rsidR="0003558A">
        <w:t xml:space="preserve">these future committed projects may be completely locally funded. Close coordination between local jurisdictions will be necessary to accurately identify all </w:t>
      </w:r>
      <w:r w:rsidR="00171202">
        <w:t xml:space="preserve">federally and locally funded future committed transportation projects. </w:t>
      </w:r>
    </w:p>
    <w:p w14:paraId="29ED383E" w14:textId="77777777" w:rsidR="00171202" w:rsidRDefault="00171202" w:rsidP="0064518D">
      <w:pPr>
        <w:ind w:left="1080"/>
      </w:pPr>
    </w:p>
    <w:p w14:paraId="10D4B06F" w14:textId="2DD29B81" w:rsidR="00171202" w:rsidRDefault="009704F0" w:rsidP="0064518D">
      <w:pPr>
        <w:ind w:left="1080"/>
      </w:pPr>
      <w:r>
        <w:t xml:space="preserve">A level of service analysis will need to be performed </w:t>
      </w:r>
      <w:r w:rsidR="008019C8">
        <w:t xml:space="preserve">with the existing plus committed network with 2040 and 2055 socio-economic projections. </w:t>
      </w:r>
    </w:p>
    <w:p w14:paraId="1A678E15" w14:textId="77777777" w:rsidR="00D74AF6" w:rsidRDefault="00D74AF6" w:rsidP="004D70A3">
      <w:pPr>
        <w:ind w:left="0"/>
        <w:rPr>
          <w:b/>
          <w:bCs/>
        </w:rPr>
      </w:pPr>
    </w:p>
    <w:p w14:paraId="5A3F4D19" w14:textId="611915D6" w:rsidR="008019C8" w:rsidRPr="00634D39" w:rsidRDefault="008019C8" w:rsidP="0064518D">
      <w:pPr>
        <w:ind w:left="1080"/>
        <w:rPr>
          <w:b/>
          <w:bCs/>
        </w:rPr>
      </w:pPr>
      <w:r w:rsidRPr="00634D39">
        <w:rPr>
          <w:b/>
          <w:bCs/>
        </w:rPr>
        <w:t>Deliverables:</w:t>
      </w:r>
    </w:p>
    <w:p w14:paraId="68BC0FD0" w14:textId="74BB0104" w:rsidR="008019C8" w:rsidRDefault="00634D39" w:rsidP="008019C8">
      <w:pPr>
        <w:pStyle w:val="ListParagraph"/>
        <w:numPr>
          <w:ilvl w:val="0"/>
          <w:numId w:val="51"/>
        </w:numPr>
      </w:pPr>
      <w:r>
        <w:t xml:space="preserve">A technical memorandum or chapter draft of the </w:t>
      </w:r>
      <w:r w:rsidR="00C5116C">
        <w:t xml:space="preserve">existing plus committed network conditions. </w:t>
      </w:r>
    </w:p>
    <w:p w14:paraId="653AEF26" w14:textId="642423C1" w:rsidR="00C5116C" w:rsidRDefault="00C5116C" w:rsidP="00C5116C">
      <w:pPr>
        <w:ind w:left="0"/>
      </w:pPr>
    </w:p>
    <w:p w14:paraId="1B506618" w14:textId="55C76466" w:rsidR="00C5116C" w:rsidRPr="008B4C57" w:rsidRDefault="00C5116C" w:rsidP="00C5116C">
      <w:pPr>
        <w:ind w:left="1080"/>
        <w:rPr>
          <w:b/>
          <w:bCs/>
        </w:rPr>
      </w:pPr>
      <w:r w:rsidRPr="008B4C57">
        <w:rPr>
          <w:b/>
          <w:bCs/>
        </w:rPr>
        <w:t xml:space="preserve">MTP </w:t>
      </w:r>
      <w:r w:rsidR="00CC709A">
        <w:rPr>
          <w:b/>
          <w:bCs/>
        </w:rPr>
        <w:t>7</w:t>
      </w:r>
      <w:r w:rsidRPr="008B4C57">
        <w:rPr>
          <w:b/>
          <w:bCs/>
        </w:rPr>
        <w:t xml:space="preserve"> </w:t>
      </w:r>
      <w:r w:rsidR="008B4C57" w:rsidRPr="008B4C57">
        <w:rPr>
          <w:b/>
          <w:bCs/>
        </w:rPr>
        <w:t>–</w:t>
      </w:r>
      <w:r w:rsidRPr="008B4C57">
        <w:rPr>
          <w:b/>
          <w:bCs/>
        </w:rPr>
        <w:t xml:space="preserve"> </w:t>
      </w:r>
      <w:r w:rsidR="008B4C57" w:rsidRPr="008B4C57">
        <w:rPr>
          <w:b/>
          <w:bCs/>
        </w:rPr>
        <w:t>Issues identification</w:t>
      </w:r>
    </w:p>
    <w:p w14:paraId="1B3EF406" w14:textId="77777777" w:rsidR="00DE1546" w:rsidRDefault="00081DE2" w:rsidP="00C5116C">
      <w:pPr>
        <w:ind w:left="1080"/>
      </w:pPr>
      <w:r>
        <w:t xml:space="preserve">This effort will identify existing and projected multi-modal transportation </w:t>
      </w:r>
      <w:r w:rsidR="00C81806">
        <w:t>system issues that will need to be addressed</w:t>
      </w:r>
      <w:r w:rsidR="003527A8">
        <w:t xml:space="preserve">. </w:t>
      </w:r>
    </w:p>
    <w:p w14:paraId="29046CED" w14:textId="77777777" w:rsidR="00DE1546" w:rsidRDefault="00DE1546" w:rsidP="00C5116C">
      <w:pPr>
        <w:ind w:left="1080"/>
      </w:pPr>
      <w:r>
        <w:t>Some elements may include but not be limited to:</w:t>
      </w:r>
    </w:p>
    <w:p w14:paraId="3ADE8B0A" w14:textId="502616EC" w:rsidR="00DE1546" w:rsidRDefault="00DE1546" w:rsidP="00DE1546">
      <w:pPr>
        <w:pStyle w:val="ListParagraph"/>
        <w:numPr>
          <w:ilvl w:val="0"/>
          <w:numId w:val="51"/>
        </w:numPr>
      </w:pPr>
      <w:r>
        <w:t>Consideration of p</w:t>
      </w:r>
      <w:r w:rsidR="007066EC">
        <w:t>otential transportation trends</w:t>
      </w:r>
      <w:r w:rsidR="00C86324">
        <w:t xml:space="preserve"> (including new techno</w:t>
      </w:r>
      <w:r w:rsidR="0089495C">
        <w:t>logies and/or modes of transportation)</w:t>
      </w:r>
      <w:r w:rsidR="007066EC">
        <w:t xml:space="preserve"> that may impact future transportation in the region</w:t>
      </w:r>
    </w:p>
    <w:p w14:paraId="090249AC" w14:textId="604A4EAC" w:rsidR="00DE1546" w:rsidRPr="00843EF8" w:rsidRDefault="00DE1546" w:rsidP="00DE1546">
      <w:pPr>
        <w:pStyle w:val="ListParagraph"/>
        <w:numPr>
          <w:ilvl w:val="0"/>
          <w:numId w:val="51"/>
        </w:numPr>
      </w:pPr>
      <w:r>
        <w:t xml:space="preserve">Multi-modal system connectivity (auto, freight, bicycle, pedestrian, public transportation) and operations should be a consideration </w:t>
      </w:r>
    </w:p>
    <w:p w14:paraId="096DFA0A" w14:textId="16157494" w:rsidR="00DE1546" w:rsidRDefault="00273873" w:rsidP="00DE1546">
      <w:pPr>
        <w:pStyle w:val="ListParagraph"/>
        <w:numPr>
          <w:ilvl w:val="0"/>
          <w:numId w:val="51"/>
        </w:numPr>
      </w:pPr>
      <w:r>
        <w:t>Consistency of a</w:t>
      </w:r>
      <w:r w:rsidR="00811C1A">
        <w:t xml:space="preserve">ccess management considerations </w:t>
      </w:r>
      <w:r>
        <w:t>in comparison to accessibility of business/industrial establishments along select corridors</w:t>
      </w:r>
    </w:p>
    <w:p w14:paraId="6F85BDC8" w14:textId="2AA29607" w:rsidR="00FA48D7" w:rsidRDefault="00867E09" w:rsidP="00DE1546">
      <w:pPr>
        <w:pStyle w:val="ListParagraph"/>
        <w:numPr>
          <w:ilvl w:val="0"/>
          <w:numId w:val="51"/>
        </w:numPr>
      </w:pPr>
      <w:r>
        <w:t xml:space="preserve">Ease of freight movements </w:t>
      </w:r>
      <w:r w:rsidR="00381B54">
        <w:t xml:space="preserve">in comparison to </w:t>
      </w:r>
      <w:r>
        <w:t xml:space="preserve">potential conflicts </w:t>
      </w:r>
      <w:r w:rsidR="00381B54">
        <w:t>with freight movements and existing neighborhood disruption</w:t>
      </w:r>
    </w:p>
    <w:p w14:paraId="66B58EB1" w14:textId="398F4F83" w:rsidR="0020442B" w:rsidRDefault="0020442B" w:rsidP="00DE1546">
      <w:pPr>
        <w:pStyle w:val="ListParagraph"/>
        <w:numPr>
          <w:ilvl w:val="0"/>
          <w:numId w:val="51"/>
        </w:numPr>
      </w:pPr>
      <w:r>
        <w:t>Ease of access to various industrial and commercial locations</w:t>
      </w:r>
    </w:p>
    <w:p w14:paraId="2CB836D8" w14:textId="6C45220E" w:rsidR="00ED275F" w:rsidRDefault="00732686" w:rsidP="00DE1546">
      <w:pPr>
        <w:pStyle w:val="ListParagraph"/>
        <w:numPr>
          <w:ilvl w:val="0"/>
          <w:numId w:val="51"/>
        </w:numPr>
      </w:pPr>
      <w:r>
        <w:t xml:space="preserve">Addressing identified transportation safety concerns </w:t>
      </w:r>
    </w:p>
    <w:p w14:paraId="697073BA" w14:textId="0153B667" w:rsidR="00A70C24" w:rsidRDefault="00A70C24" w:rsidP="00DE1546">
      <w:pPr>
        <w:pStyle w:val="ListParagraph"/>
        <w:numPr>
          <w:ilvl w:val="0"/>
          <w:numId w:val="51"/>
        </w:numPr>
      </w:pPr>
      <w:r>
        <w:t xml:space="preserve">Recognition of potential </w:t>
      </w:r>
      <w:r w:rsidR="00001695">
        <w:t>growing industries in the region and associated transportation needs</w:t>
      </w:r>
    </w:p>
    <w:p w14:paraId="4C9D37D7" w14:textId="77777777" w:rsidR="00DE1546" w:rsidRDefault="00DE1546" w:rsidP="00DE1546">
      <w:pPr>
        <w:pStyle w:val="ListParagraph"/>
        <w:ind w:left="1800"/>
      </w:pPr>
    </w:p>
    <w:p w14:paraId="5D09CFB3" w14:textId="46742226" w:rsidR="008B4C57" w:rsidRDefault="00FB4DEE" w:rsidP="00DE1546">
      <w:pPr>
        <w:ind w:left="360" w:firstLine="720"/>
      </w:pPr>
      <w:r>
        <w:t xml:space="preserve">The compilation of this effort will form the basis for alternatives to address the identified issues. </w:t>
      </w:r>
    </w:p>
    <w:p w14:paraId="705DB246" w14:textId="77777777" w:rsidR="009D0760" w:rsidRDefault="009D0760" w:rsidP="003207E9">
      <w:pPr>
        <w:ind w:left="0"/>
      </w:pPr>
    </w:p>
    <w:p w14:paraId="21421A1A" w14:textId="4D05A84D" w:rsidR="009D0760" w:rsidRPr="0089495C" w:rsidRDefault="009D0760" w:rsidP="00C5116C">
      <w:pPr>
        <w:ind w:left="1080"/>
        <w:rPr>
          <w:b/>
          <w:bCs/>
        </w:rPr>
      </w:pPr>
      <w:r w:rsidRPr="0089495C">
        <w:rPr>
          <w:b/>
          <w:bCs/>
        </w:rPr>
        <w:t>Deliverables:</w:t>
      </w:r>
    </w:p>
    <w:p w14:paraId="0F13692C" w14:textId="572F3F61" w:rsidR="009D0760" w:rsidRDefault="009D0760" w:rsidP="0089495C">
      <w:pPr>
        <w:pStyle w:val="ListParagraph"/>
        <w:numPr>
          <w:ilvl w:val="0"/>
          <w:numId w:val="51"/>
        </w:numPr>
      </w:pPr>
      <w:r>
        <w:t xml:space="preserve">A technical memorandum </w:t>
      </w:r>
      <w:r w:rsidR="00DF0259">
        <w:t xml:space="preserve">or chapter draft identifying </w:t>
      </w:r>
      <w:r w:rsidR="00C86324">
        <w:t xml:space="preserve">anticipated </w:t>
      </w:r>
      <w:r w:rsidR="0089495C">
        <w:t xml:space="preserve">transportation issues impacting the MPO study area. </w:t>
      </w:r>
    </w:p>
    <w:p w14:paraId="63A9C754" w14:textId="77777777" w:rsidR="008B4C57" w:rsidRDefault="008B4C57" w:rsidP="00B22A6E">
      <w:pPr>
        <w:ind w:left="1080"/>
      </w:pPr>
    </w:p>
    <w:p w14:paraId="5A96F46E" w14:textId="4B0E4712" w:rsidR="00B22A6E" w:rsidRPr="007D49CB" w:rsidRDefault="00F461C2" w:rsidP="00B22A6E">
      <w:pPr>
        <w:ind w:left="1080"/>
        <w:rPr>
          <w:b/>
          <w:bCs/>
        </w:rPr>
      </w:pPr>
      <w:r w:rsidRPr="007D49CB">
        <w:rPr>
          <w:b/>
          <w:bCs/>
        </w:rPr>
        <w:lastRenderedPageBreak/>
        <w:t>MTP 8 – Range of Alternatives</w:t>
      </w:r>
    </w:p>
    <w:p w14:paraId="2E7229B3" w14:textId="15CC10E3" w:rsidR="00F461C2" w:rsidRDefault="0062332E" w:rsidP="00B22A6E">
      <w:pPr>
        <w:ind w:left="1080"/>
      </w:pPr>
      <w:r>
        <w:t>This effort will establish a range of</w:t>
      </w:r>
      <w:r w:rsidR="00B34995">
        <w:t xml:space="preserve"> multimodal</w:t>
      </w:r>
      <w:r>
        <w:t xml:space="preserve"> alternatives to address the issues identified. Completed studies/plans </w:t>
      </w:r>
      <w:r w:rsidR="006B5E08">
        <w:t xml:space="preserve">adopted after </w:t>
      </w:r>
      <w:proofErr w:type="gramStart"/>
      <w:r w:rsidR="006B5E08">
        <w:t>the 2050</w:t>
      </w:r>
      <w:proofErr w:type="gramEnd"/>
      <w:r w:rsidR="006B5E08">
        <w:t xml:space="preserve"> MTP should be reviewed to</w:t>
      </w:r>
      <w:r w:rsidR="002A70BA">
        <w:t xml:space="preserve"> provide</w:t>
      </w:r>
      <w:r w:rsidR="006B5E08">
        <w:t xml:space="preserve"> </w:t>
      </w:r>
      <w:r w:rsidR="000F32C7">
        <w:t xml:space="preserve">suggested alternatives. </w:t>
      </w:r>
      <w:r w:rsidR="00A21E1B">
        <w:t xml:space="preserve">Cost estimates should be associated with each of the alternatives. </w:t>
      </w:r>
    </w:p>
    <w:p w14:paraId="77EAFD61" w14:textId="77777777" w:rsidR="001B0C77" w:rsidRDefault="001B0C77" w:rsidP="00237DD8">
      <w:pPr>
        <w:ind w:left="0"/>
        <w:rPr>
          <w:b/>
          <w:bCs/>
        </w:rPr>
      </w:pPr>
    </w:p>
    <w:p w14:paraId="4666D0C3" w14:textId="7610A731" w:rsidR="00B34995" w:rsidRPr="007D49CB" w:rsidRDefault="00B34995" w:rsidP="00B22A6E">
      <w:pPr>
        <w:ind w:left="1080"/>
        <w:rPr>
          <w:b/>
          <w:bCs/>
        </w:rPr>
      </w:pPr>
      <w:r w:rsidRPr="007D49CB">
        <w:rPr>
          <w:b/>
          <w:bCs/>
        </w:rPr>
        <w:t>Deliverables:</w:t>
      </w:r>
    </w:p>
    <w:p w14:paraId="2EB700B8" w14:textId="7A7DA68D" w:rsidR="00B34995" w:rsidRDefault="00F337DC" w:rsidP="007D49CB">
      <w:pPr>
        <w:pStyle w:val="ListParagraph"/>
        <w:numPr>
          <w:ilvl w:val="0"/>
          <w:numId w:val="51"/>
        </w:numPr>
      </w:pPr>
      <w:r>
        <w:t xml:space="preserve">A technical memorandum or chapter draft </w:t>
      </w:r>
      <w:r w:rsidR="005315BE">
        <w:t xml:space="preserve">establishing a range of multimodal transportation alternatives for the MPO study area. </w:t>
      </w:r>
    </w:p>
    <w:p w14:paraId="2287ED3B" w14:textId="77777777" w:rsidR="00C17471" w:rsidRDefault="00C17471" w:rsidP="00C17471">
      <w:pPr>
        <w:ind w:left="0"/>
      </w:pPr>
    </w:p>
    <w:p w14:paraId="437A5884" w14:textId="742C0349" w:rsidR="00C17471" w:rsidRPr="00FE139A" w:rsidRDefault="00C17471" w:rsidP="00C17471">
      <w:pPr>
        <w:ind w:left="1080"/>
        <w:rPr>
          <w:b/>
          <w:bCs/>
        </w:rPr>
      </w:pPr>
      <w:r w:rsidRPr="00FE139A">
        <w:rPr>
          <w:b/>
          <w:bCs/>
        </w:rPr>
        <w:t>MTP 9 – Financial</w:t>
      </w:r>
      <w:r w:rsidR="002A6548">
        <w:rPr>
          <w:b/>
          <w:bCs/>
        </w:rPr>
        <w:t>ly Constrained</w:t>
      </w:r>
      <w:r w:rsidRPr="00FE139A">
        <w:rPr>
          <w:b/>
          <w:bCs/>
        </w:rPr>
        <w:t xml:space="preserve"> Plan</w:t>
      </w:r>
    </w:p>
    <w:p w14:paraId="1EDFA69F" w14:textId="05A4495A" w:rsidR="00FE139A" w:rsidRDefault="00A15ADB" w:rsidP="00C17471">
      <w:pPr>
        <w:ind w:left="1080"/>
      </w:pPr>
      <w:r>
        <w:t xml:space="preserve">This effort will establish a </w:t>
      </w:r>
      <w:r w:rsidR="00E26568">
        <w:t xml:space="preserve">financially constrained </w:t>
      </w:r>
      <w:r w:rsidR="00092828">
        <w:t xml:space="preserve">list of multimodal projects to </w:t>
      </w:r>
      <w:r w:rsidR="00F078A1">
        <w:t xml:space="preserve">the year 2055 from the range of alternatives. This process will need to establish a </w:t>
      </w:r>
      <w:r>
        <w:t xml:space="preserve">reasonable estimate of funding available to implement multimodal transportation needs identified through the plan process. </w:t>
      </w:r>
      <w:r w:rsidR="003D6D15">
        <w:t xml:space="preserve">A historic review of transportation funding will likely be </w:t>
      </w:r>
      <w:r w:rsidR="00EB58D6">
        <w:t>necessary</w:t>
      </w:r>
      <w:r w:rsidR="003D6D15">
        <w:t xml:space="preserve"> and should include an understanding of the percentage of overall funding expended on preventative maintenance </w:t>
      </w:r>
      <w:r w:rsidR="00EB58D6">
        <w:t xml:space="preserve">activities in comparison to capacity expansion projects. </w:t>
      </w:r>
      <w:r w:rsidR="00D550F3">
        <w:t xml:space="preserve">Coordination with NDDOT and MNDOT </w:t>
      </w:r>
      <w:r w:rsidR="00D70FC9">
        <w:t>will also be necessary to establish projected</w:t>
      </w:r>
      <w:r w:rsidR="004D4199">
        <w:t xml:space="preserve"> </w:t>
      </w:r>
      <w:r w:rsidR="00D70FC9">
        <w:t xml:space="preserve">federal financial revenue </w:t>
      </w:r>
      <w:r w:rsidR="008B1299">
        <w:t xml:space="preserve">as well as construction inflation rate </w:t>
      </w:r>
      <w:r w:rsidR="006719F3">
        <w:t xml:space="preserve">assumptions </w:t>
      </w:r>
      <w:r w:rsidR="000E1641">
        <w:t>for</w:t>
      </w:r>
      <w:r w:rsidR="004D4199">
        <w:t xml:space="preserve"> the MPO area</w:t>
      </w:r>
      <w:r w:rsidR="000E1641">
        <w:t>,</w:t>
      </w:r>
      <w:r w:rsidR="004D4199">
        <w:t xml:space="preserve"> out to the year 2055. </w:t>
      </w:r>
    </w:p>
    <w:p w14:paraId="579153B3" w14:textId="77777777" w:rsidR="00E25029" w:rsidRDefault="00E25029" w:rsidP="00C17471">
      <w:pPr>
        <w:ind w:left="1080"/>
      </w:pPr>
    </w:p>
    <w:p w14:paraId="57665BF4" w14:textId="7AEC4FAE" w:rsidR="00E25029" w:rsidRDefault="00E25029" w:rsidP="00C17471">
      <w:pPr>
        <w:ind w:left="1080"/>
      </w:pPr>
      <w:r>
        <w:t>Projects should be recommended for implementation</w:t>
      </w:r>
      <w:r w:rsidR="00B57F16">
        <w:t xml:space="preserve"> in short</w:t>
      </w:r>
      <w:r w:rsidR="008E49F7">
        <w:t>-</w:t>
      </w:r>
      <w:r w:rsidR="00B57F16">
        <w:t xml:space="preserve"> (0-5 years), medium</w:t>
      </w:r>
      <w:r w:rsidR="008E49F7">
        <w:t>-</w:t>
      </w:r>
      <w:r w:rsidR="00B57F16">
        <w:t xml:space="preserve"> (6</w:t>
      </w:r>
      <w:r w:rsidR="008E49F7">
        <w:t xml:space="preserve">-11 years), and long-range (12+ years). </w:t>
      </w:r>
      <w:r w:rsidR="000B6593">
        <w:t xml:space="preserve">The projects should assume an inflation rate </w:t>
      </w:r>
      <w:r w:rsidR="00882E0C">
        <w:t>for year of expenditure over the planning horizon</w:t>
      </w:r>
      <w:r w:rsidR="00BE39BB">
        <w:t xml:space="preserve">. </w:t>
      </w:r>
    </w:p>
    <w:p w14:paraId="0C3AD697" w14:textId="77777777" w:rsidR="00E9673A" w:rsidRDefault="00E9673A" w:rsidP="008F457F">
      <w:pPr>
        <w:ind w:left="0"/>
        <w:rPr>
          <w:b/>
          <w:bCs/>
        </w:rPr>
      </w:pPr>
    </w:p>
    <w:p w14:paraId="273E8F2C" w14:textId="16105934" w:rsidR="00041FD6" w:rsidRDefault="00F17A0E" w:rsidP="00041FD6">
      <w:pPr>
        <w:ind w:left="0" w:firstLine="1080"/>
        <w:rPr>
          <w:b/>
          <w:bCs/>
        </w:rPr>
      </w:pPr>
      <w:r w:rsidRPr="00F17A0E">
        <w:rPr>
          <w:b/>
          <w:bCs/>
        </w:rPr>
        <w:t>Deliverables:</w:t>
      </w:r>
    </w:p>
    <w:p w14:paraId="06FF7000" w14:textId="2869858E" w:rsidR="000E7092" w:rsidRPr="000E7092" w:rsidRDefault="000E7092" w:rsidP="00041FD6">
      <w:pPr>
        <w:pStyle w:val="ListParagraph"/>
        <w:numPr>
          <w:ilvl w:val="0"/>
          <w:numId w:val="51"/>
        </w:numPr>
        <w:rPr>
          <w:b/>
          <w:bCs/>
        </w:rPr>
      </w:pPr>
      <w:r>
        <w:t xml:space="preserve">A financially constrained recommended future </w:t>
      </w:r>
      <w:r w:rsidR="00FD77C9">
        <w:t xml:space="preserve">multimodal </w:t>
      </w:r>
      <w:r>
        <w:t>transportation system</w:t>
      </w:r>
      <w:r w:rsidR="006E0F73">
        <w:t xml:space="preserve"> by year of implementation</w:t>
      </w:r>
    </w:p>
    <w:p w14:paraId="69FCF43A" w14:textId="066A4854" w:rsidR="00C84FC6" w:rsidRDefault="00D7318A" w:rsidP="00C84FC6">
      <w:pPr>
        <w:pStyle w:val="ListParagraph"/>
        <w:numPr>
          <w:ilvl w:val="0"/>
          <w:numId w:val="51"/>
        </w:numPr>
        <w:rPr>
          <w:b/>
          <w:bCs/>
        </w:rPr>
      </w:pPr>
      <w:r>
        <w:t xml:space="preserve">A technical memorandum or chapter draft </w:t>
      </w:r>
      <w:r w:rsidR="00D50BD3">
        <w:t xml:space="preserve">resulting in the financially constrained list of multi-modal transportation projects, broken up by short-, medium-, and long-range timeframes, for the MPO study area. </w:t>
      </w:r>
    </w:p>
    <w:p w14:paraId="6A210DFB" w14:textId="77777777" w:rsidR="00C84FC6" w:rsidRDefault="00C84FC6" w:rsidP="00C84FC6">
      <w:pPr>
        <w:pStyle w:val="ListParagraph"/>
        <w:ind w:left="1080"/>
        <w:rPr>
          <w:b/>
          <w:bCs/>
        </w:rPr>
      </w:pPr>
    </w:p>
    <w:p w14:paraId="6C05B4E5" w14:textId="664B5379" w:rsidR="00C84FC6" w:rsidRDefault="00C84FC6" w:rsidP="00C84FC6">
      <w:pPr>
        <w:pStyle w:val="ListParagraph"/>
        <w:ind w:left="1080"/>
        <w:rPr>
          <w:b/>
          <w:bCs/>
        </w:rPr>
      </w:pPr>
      <w:r>
        <w:rPr>
          <w:b/>
          <w:bCs/>
        </w:rPr>
        <w:t>MTP 10</w:t>
      </w:r>
      <w:r w:rsidR="000042B4">
        <w:rPr>
          <w:b/>
          <w:bCs/>
        </w:rPr>
        <w:t xml:space="preserve"> – Final Plan</w:t>
      </w:r>
      <w:r w:rsidR="00954CE1">
        <w:rPr>
          <w:b/>
          <w:bCs/>
        </w:rPr>
        <w:t xml:space="preserve"> and Executive Summary </w:t>
      </w:r>
    </w:p>
    <w:p w14:paraId="34430B87" w14:textId="632FF8DA" w:rsidR="002237B8" w:rsidRDefault="00100522" w:rsidP="002237B8">
      <w:pPr>
        <w:pStyle w:val="ListParagraph"/>
        <w:ind w:left="1080"/>
      </w:pPr>
      <w:r>
        <w:t xml:space="preserve">The consultant will develop a federally compliant </w:t>
      </w:r>
      <w:r w:rsidR="00EA686E">
        <w:t>draft and final multimodal MTP document.</w:t>
      </w:r>
      <w:r w:rsidR="00E41F44">
        <w:t xml:space="preserve"> The compilation of which will include but may not be limited to the preceding identified chapters</w:t>
      </w:r>
      <w:r w:rsidR="0062175D">
        <w:t>.</w:t>
      </w:r>
      <w:r w:rsidR="00EA686E">
        <w:t xml:space="preserve"> </w:t>
      </w:r>
      <w:r w:rsidR="00A605DD">
        <w:t xml:space="preserve">The </w:t>
      </w:r>
      <w:r w:rsidR="009348B2">
        <w:t>draft document will be presented for consideration to</w:t>
      </w:r>
      <w:r w:rsidR="008F457F">
        <w:t xml:space="preserve"> the following</w:t>
      </w:r>
      <w:r w:rsidR="00341AB0">
        <w:t>:</w:t>
      </w:r>
      <w:r w:rsidR="009348B2">
        <w:t xml:space="preserve"> the </w:t>
      </w:r>
      <w:r w:rsidR="00341AB0">
        <w:t>project steering committee; public; NDDOT; cities of Grand Forks</w:t>
      </w:r>
      <w:r w:rsidR="00657EC0">
        <w:t xml:space="preserve"> and </w:t>
      </w:r>
      <w:r w:rsidR="00341AB0">
        <w:t xml:space="preserve">East Grand </w:t>
      </w:r>
      <w:r w:rsidR="007A532C">
        <w:t>F</w:t>
      </w:r>
      <w:r w:rsidR="00341AB0">
        <w:t>orks and Grand Forks and Polk coun</w:t>
      </w:r>
      <w:r w:rsidR="00296E46">
        <w:t>ties</w:t>
      </w:r>
      <w:r w:rsidR="00341AB0">
        <w:t xml:space="preserve"> planning and zoning commissions; and cities of Grand Forks and </w:t>
      </w:r>
      <w:proofErr w:type="gramStart"/>
      <w:r w:rsidR="00341AB0">
        <w:t>East Grand Forks and</w:t>
      </w:r>
      <w:proofErr w:type="gramEnd"/>
      <w:r w:rsidR="00341AB0">
        <w:t xml:space="preserve"> </w:t>
      </w:r>
      <w:r w:rsidR="00B20DA3">
        <w:t xml:space="preserve">Grand Forks and Polk </w:t>
      </w:r>
      <w:r w:rsidR="00296E46">
        <w:t>counties councils</w:t>
      </w:r>
      <w:r w:rsidR="00B20DA3">
        <w:t xml:space="preserve"> for </w:t>
      </w:r>
      <w:r w:rsidR="00FC19B1">
        <w:t xml:space="preserve">consideration of </w:t>
      </w:r>
      <w:r w:rsidR="00B20DA3">
        <w:t>approval</w:t>
      </w:r>
      <w:r w:rsidR="00FC19B1">
        <w:t>/adoption/acceptance</w:t>
      </w:r>
      <w:r w:rsidR="00B20DA3">
        <w:t xml:space="preserve">. The final document will </w:t>
      </w:r>
      <w:r w:rsidR="0062175D">
        <w:t>identify</w:t>
      </w:r>
      <w:r w:rsidR="00B20DA3">
        <w:t xml:space="preserve"> </w:t>
      </w:r>
      <w:r w:rsidR="00ED3782">
        <w:t>how all comments/suggestions/questions were incorporated</w:t>
      </w:r>
      <w:r w:rsidR="00296E46">
        <w:t xml:space="preserve">, considered, and/or addressed. </w:t>
      </w:r>
    </w:p>
    <w:p w14:paraId="7F34B984" w14:textId="77777777" w:rsidR="00DF2EED" w:rsidRDefault="00DF2EED" w:rsidP="00567D25">
      <w:pPr>
        <w:ind w:left="0"/>
        <w:rPr>
          <w:b/>
          <w:bCs/>
        </w:rPr>
      </w:pPr>
    </w:p>
    <w:p w14:paraId="3344DF11" w14:textId="69FF38D9" w:rsidR="00C61490" w:rsidRDefault="00C61490" w:rsidP="006C0679">
      <w:pPr>
        <w:ind w:left="1080"/>
        <w:rPr>
          <w:b/>
          <w:bCs/>
        </w:rPr>
      </w:pPr>
      <w:r w:rsidRPr="00C61490">
        <w:rPr>
          <w:b/>
          <w:bCs/>
        </w:rPr>
        <w:t xml:space="preserve">Deliverables: </w:t>
      </w:r>
    </w:p>
    <w:p w14:paraId="0E2541DB" w14:textId="319E5792" w:rsidR="008A4FC9" w:rsidRPr="008A4FC9" w:rsidRDefault="008A4FC9" w:rsidP="008A4FC9">
      <w:pPr>
        <w:pStyle w:val="ListParagraph"/>
        <w:numPr>
          <w:ilvl w:val="0"/>
          <w:numId w:val="53"/>
        </w:numPr>
      </w:pPr>
      <w:r>
        <w:t xml:space="preserve">A </w:t>
      </w:r>
      <w:r w:rsidR="008B190B">
        <w:t xml:space="preserve">federally compliant </w:t>
      </w:r>
      <w:r>
        <w:t xml:space="preserve">document fulfilling the scope of work </w:t>
      </w:r>
      <w:r w:rsidR="008B190B">
        <w:t xml:space="preserve">requirements identified. </w:t>
      </w:r>
    </w:p>
    <w:p w14:paraId="650F22DA" w14:textId="10B8FB5C" w:rsidR="00AF0D9C" w:rsidRPr="009F2E74" w:rsidRDefault="00AF0D9C" w:rsidP="00056FE2">
      <w:pPr>
        <w:pStyle w:val="BodyText"/>
        <w:ind w:left="0"/>
      </w:pPr>
    </w:p>
    <w:p w14:paraId="33FE194F" w14:textId="6DF04841" w:rsidR="00AF0D9C" w:rsidRPr="009F2E74" w:rsidRDefault="00AF0D9C" w:rsidP="00130F48">
      <w:pPr>
        <w:pStyle w:val="Heading2"/>
      </w:pPr>
      <w:r w:rsidRPr="009F2E74">
        <w:t>Project Deliverables</w:t>
      </w:r>
    </w:p>
    <w:p w14:paraId="51BF2448" w14:textId="49077370" w:rsidR="00A001DB" w:rsidRPr="009F2E74" w:rsidRDefault="00380197" w:rsidP="003C1B49">
      <w:pPr>
        <w:pStyle w:val="BodyText"/>
      </w:pPr>
      <w:r w:rsidRPr="009F2E74">
        <w:t xml:space="preserve">The final product of this effort will </w:t>
      </w:r>
      <w:r w:rsidR="00B92927">
        <w:t>result in a document(s)</w:t>
      </w:r>
      <w:r w:rsidRPr="009F2E74">
        <w:t xml:space="preserve"> fulfilling the scope of work. </w:t>
      </w:r>
    </w:p>
    <w:p w14:paraId="3DC2885F" w14:textId="77777777" w:rsidR="00B92927" w:rsidRDefault="00B92927" w:rsidP="00DD6983">
      <w:pPr>
        <w:pStyle w:val="BodyText"/>
      </w:pPr>
    </w:p>
    <w:p w14:paraId="579296ED" w14:textId="480188E6" w:rsidR="002E3008" w:rsidRPr="000B5D90" w:rsidRDefault="002D2E56" w:rsidP="00DD6983">
      <w:pPr>
        <w:pStyle w:val="BodyText"/>
      </w:pPr>
      <w:r w:rsidRPr="000B5D90">
        <w:t>An electronic copy of the approved final reports will be delivered to the Forks MPO in PDF and Word format.  In addition, electronic copies of any working papers, data,</w:t>
      </w:r>
      <w:r w:rsidR="00220002" w:rsidRPr="000B5D90">
        <w:t xml:space="preserve"> modeling software,</w:t>
      </w:r>
      <w:r w:rsidRPr="000B5D90">
        <w:t xml:space="preserve"> maps</w:t>
      </w:r>
      <w:r w:rsidR="00C779D7" w:rsidRPr="000B5D90">
        <w:t xml:space="preserve">, </w:t>
      </w:r>
      <w:r w:rsidR="00AE36D9">
        <w:t xml:space="preserve">mapping products in </w:t>
      </w:r>
      <w:r w:rsidR="000B5D90">
        <w:t xml:space="preserve">ESRI GIS </w:t>
      </w:r>
      <w:r w:rsidR="00193A08">
        <w:t>feature/.</w:t>
      </w:r>
      <w:proofErr w:type="spellStart"/>
      <w:r w:rsidR="00193A08">
        <w:t>shp</w:t>
      </w:r>
      <w:proofErr w:type="spellEnd"/>
      <w:r w:rsidR="00193A08">
        <w:t xml:space="preserve"> file</w:t>
      </w:r>
      <w:r w:rsidR="00AE36D9">
        <w:t xml:space="preserve"> format</w:t>
      </w:r>
      <w:r w:rsidR="00193A08">
        <w:t xml:space="preserve">, </w:t>
      </w:r>
      <w:r w:rsidR="00B87856" w:rsidRPr="000B5D90">
        <w:t xml:space="preserve">presentations, </w:t>
      </w:r>
      <w:r w:rsidR="00C779D7" w:rsidRPr="000B5D90">
        <w:t xml:space="preserve">and </w:t>
      </w:r>
      <w:r w:rsidR="00DB3530" w:rsidRPr="000B5D90">
        <w:t>infographics</w:t>
      </w:r>
      <w:r w:rsidRPr="000B5D90">
        <w:t xml:space="preserve"> used to create information in the document will be delivered to the MPO either during the project or at its conclusion. </w:t>
      </w:r>
    </w:p>
    <w:p w14:paraId="476FECF6" w14:textId="2BE26AD1" w:rsidR="00F5277E" w:rsidRPr="00B26360" w:rsidRDefault="00F5277E" w:rsidP="00DD6983">
      <w:pPr>
        <w:pStyle w:val="BodyText"/>
      </w:pPr>
    </w:p>
    <w:p w14:paraId="0328194A" w14:textId="6B687651" w:rsidR="00F5277E" w:rsidRPr="00B26360" w:rsidRDefault="00F5277E" w:rsidP="00DB3530">
      <w:pPr>
        <w:pStyle w:val="Heading2"/>
      </w:pPr>
      <w:r w:rsidRPr="00B26360">
        <w:t>Estimated Project Budget</w:t>
      </w:r>
    </w:p>
    <w:p w14:paraId="3591EAC5" w14:textId="3EAD4DF6" w:rsidR="00F5277E" w:rsidRPr="00B26360" w:rsidRDefault="33AC4E1B" w:rsidP="00DD6983">
      <w:pPr>
        <w:pStyle w:val="BodyText"/>
      </w:pPr>
      <w:r w:rsidRPr="004F07E7">
        <w:t>This project has a not-to-exceed budget of $</w:t>
      </w:r>
      <w:r w:rsidR="00E27DC1" w:rsidRPr="004F07E7">
        <w:t>350,000</w:t>
      </w:r>
      <w:r w:rsidR="00DA5644">
        <w:t xml:space="preserve"> in</w:t>
      </w:r>
      <w:r w:rsidR="00E27DC1" w:rsidRPr="004F07E7">
        <w:t xml:space="preserve"> total</w:t>
      </w:r>
      <w:r w:rsidR="498EFEC5" w:rsidRPr="004F07E7">
        <w:t>.</w:t>
      </w:r>
      <w:r w:rsidR="7915D4A9" w:rsidRPr="004F07E7">
        <w:t xml:space="preserve"> </w:t>
      </w:r>
      <w:r w:rsidR="00055834" w:rsidRPr="004F07E7">
        <w:t>Limitations on the amount of funds that can be expended each year</w:t>
      </w:r>
      <w:r w:rsidR="00331BC2" w:rsidRPr="004F07E7">
        <w:t xml:space="preserve"> (2026, 2027, 2028)</w:t>
      </w:r>
      <w:r w:rsidR="00055834" w:rsidRPr="004F07E7">
        <w:t xml:space="preserve"> will need to be negotiated within the contract, given rigid annual funding limitations with the inability to rollover budgeted funds into the next calendar year.</w:t>
      </w:r>
      <w:r w:rsidR="00055834">
        <w:t xml:space="preserve"> </w:t>
      </w:r>
      <w:r w:rsidR="498EFEC5" w:rsidRPr="00B26360">
        <w:t xml:space="preserve">Consultants submitting </w:t>
      </w:r>
      <w:r w:rsidRPr="00B26360">
        <w:t>proposals</w:t>
      </w:r>
      <w:r w:rsidR="498EFEC5" w:rsidRPr="00B26360">
        <w:t xml:space="preserve"> are asked to use </w:t>
      </w:r>
      <w:r w:rsidR="498EFEC5" w:rsidRPr="00B26360">
        <w:rPr>
          <w:u w:val="single"/>
        </w:rPr>
        <w:t>audited DOT rates</w:t>
      </w:r>
      <w:r w:rsidR="498EFEC5" w:rsidRPr="00B26360">
        <w:t xml:space="preserve"> when completing their Cost Proposal Form</w:t>
      </w:r>
      <w:r w:rsidRPr="00B26360">
        <w:t xml:space="preserve"> and certify the indirect costs with the Certification of Final Indirect Costs</w:t>
      </w:r>
      <w:r w:rsidR="498EFEC5" w:rsidRPr="00B26360">
        <w:t xml:space="preserve"> (See Appendix B).</w:t>
      </w:r>
      <w:r w:rsidRPr="00B26360">
        <w:t xml:space="preserve"> </w:t>
      </w:r>
    </w:p>
    <w:p w14:paraId="21B1E1BA" w14:textId="402D6E8B" w:rsidR="00C02418" w:rsidRPr="000E1E46" w:rsidRDefault="00C02418" w:rsidP="00DD6983">
      <w:pPr>
        <w:pStyle w:val="BodyText"/>
      </w:pPr>
    </w:p>
    <w:p w14:paraId="584E048C" w14:textId="42517C34" w:rsidR="00C02418" w:rsidRPr="000E1E46" w:rsidRDefault="00C02418" w:rsidP="00DB3530">
      <w:pPr>
        <w:pStyle w:val="Heading2"/>
      </w:pPr>
      <w:r w:rsidRPr="000E1E46">
        <w:t>Other Requirements</w:t>
      </w:r>
    </w:p>
    <w:p w14:paraId="574CA868" w14:textId="3C3AE3E2" w:rsidR="005B3CEC" w:rsidRPr="000E1E46" w:rsidRDefault="33AC4E1B" w:rsidP="00DB3530">
      <w:pPr>
        <w:pStyle w:val="BodyText"/>
        <w:spacing w:after="120"/>
      </w:pPr>
      <w:r w:rsidRPr="000E1E46">
        <w:t xml:space="preserve">The consultant will update the </w:t>
      </w:r>
      <w:r w:rsidR="00983174">
        <w:t xml:space="preserve">MPO </w:t>
      </w:r>
      <w:r w:rsidRPr="000E1E46">
        <w:t>Project Manager o</w:t>
      </w:r>
      <w:r w:rsidR="2C0509E9" w:rsidRPr="000E1E46">
        <w:t>n the a</w:t>
      </w:r>
      <w:r w:rsidR="00225563" w:rsidRPr="000E1E46">
        <w:t>s be</w:t>
      </w:r>
      <w:r w:rsidR="2C0509E9" w:rsidRPr="000E1E46">
        <w:t>fore</w:t>
      </w:r>
      <w:r w:rsidR="00225563" w:rsidRPr="000E1E46">
        <w:t xml:space="preserve"> </w:t>
      </w:r>
      <w:r w:rsidR="2C0509E9" w:rsidRPr="000E1E46">
        <w:t xml:space="preserve">mentioned bi-weekly </w:t>
      </w:r>
      <w:r w:rsidR="40786B76" w:rsidRPr="000E1E46">
        <w:t>meetings and</w:t>
      </w:r>
      <w:r w:rsidR="6B8530ED" w:rsidRPr="000E1E46">
        <w:t xml:space="preserve"> will also provide</w:t>
      </w:r>
      <w:r w:rsidRPr="000E1E46">
        <w:t xml:space="preserve"> a written monthly progress report which will clearly reflect progress, timeliness, and budget </w:t>
      </w:r>
      <w:r w:rsidR="6D267CB1" w:rsidRPr="000E1E46">
        <w:t>expenditure</w:t>
      </w:r>
      <w:r w:rsidRPr="000E1E46">
        <w:t xml:space="preserve">. </w:t>
      </w:r>
      <w:r w:rsidR="4CB22945" w:rsidRPr="000E1E46">
        <w:t xml:space="preserve">The monthly progress report will be presented by the </w:t>
      </w:r>
      <w:r w:rsidR="5176438A" w:rsidRPr="000E1E46">
        <w:t xml:space="preserve">MPO </w:t>
      </w:r>
      <w:r w:rsidR="4CB22945" w:rsidRPr="000E1E46">
        <w:t xml:space="preserve">project manager to the </w:t>
      </w:r>
      <w:r w:rsidR="7AA14517" w:rsidRPr="000E1E46">
        <w:t xml:space="preserve">MPO’s </w:t>
      </w:r>
      <w:r w:rsidR="00DA5644">
        <w:t>TAC</w:t>
      </w:r>
      <w:r w:rsidR="5E2E06DA" w:rsidRPr="000E1E46">
        <w:t xml:space="preserve">. </w:t>
      </w:r>
      <w:bookmarkEnd w:id="18"/>
    </w:p>
    <w:p w14:paraId="72F63F53" w14:textId="6587E31F" w:rsidR="00BB3334" w:rsidRPr="00201D18" w:rsidRDefault="005B3CEC" w:rsidP="00DD6983">
      <w:pPr>
        <w:pStyle w:val="BodyText"/>
      </w:pPr>
      <w:r w:rsidRPr="00201D18">
        <w:t xml:space="preserve">As part of the MPO’s efforts to track consultant history the </w:t>
      </w:r>
      <w:r w:rsidRPr="004B5D93">
        <w:t xml:space="preserve">MPO </w:t>
      </w:r>
      <w:r w:rsidR="00F143D3" w:rsidRPr="004B5D93">
        <w:t>will</w:t>
      </w:r>
      <w:r w:rsidRPr="00201D18">
        <w:t xml:space="preserve"> do an </w:t>
      </w:r>
      <w:r w:rsidR="00B72C7A" w:rsidRPr="00201D18">
        <w:t>end-of-project</w:t>
      </w:r>
      <w:r w:rsidRPr="00201D18">
        <w:t xml:space="preserve"> evaluation of the consultant. This </w:t>
      </w:r>
      <w:r w:rsidR="00201D18" w:rsidRPr="00201D18">
        <w:t>can</w:t>
      </w:r>
      <w:r w:rsidRPr="00201D18">
        <w:t xml:space="preserve"> be shared with the consultant for their information.</w:t>
      </w:r>
      <w:r w:rsidR="00B13587" w:rsidRPr="00201D18">
        <w:t xml:space="preserve"> </w:t>
      </w:r>
    </w:p>
    <w:p w14:paraId="288318FB" w14:textId="5C5457A0" w:rsidR="00CF4DF5" w:rsidRPr="004B5D93" w:rsidRDefault="00CF4DF5" w:rsidP="00DD6983">
      <w:pPr>
        <w:pStyle w:val="BodyText"/>
        <w:rPr>
          <w:color w:val="auto"/>
        </w:rPr>
      </w:pPr>
    </w:p>
    <w:p w14:paraId="58822857" w14:textId="71849B41" w:rsidR="7A808637" w:rsidRPr="004B5D93" w:rsidRDefault="00737916" w:rsidP="0011382B">
      <w:pPr>
        <w:pStyle w:val="Heading1"/>
        <w:spacing w:before="0"/>
        <w:rPr>
          <w:color w:val="auto"/>
        </w:rPr>
      </w:pPr>
      <w:bookmarkStart w:id="19" w:name="_Toc172279726"/>
      <w:bookmarkStart w:id="20" w:name="_Toc193968946"/>
      <w:r w:rsidRPr="004B5D93">
        <w:rPr>
          <w:color w:val="auto"/>
        </w:rPr>
        <w:t>Information Available for Consultant</w:t>
      </w:r>
      <w:bookmarkEnd w:id="19"/>
      <w:bookmarkEnd w:id="20"/>
    </w:p>
    <w:p w14:paraId="7DEA0C9A" w14:textId="74B61DB6" w:rsidR="00737916" w:rsidRPr="00247252" w:rsidRDefault="00C845BD" w:rsidP="007303F0">
      <w:pPr>
        <w:pStyle w:val="Heading2"/>
      </w:pPr>
      <w:r w:rsidRPr="00247252">
        <w:t>Shapefiles</w:t>
      </w:r>
    </w:p>
    <w:p w14:paraId="2859DE71" w14:textId="03475738" w:rsidR="00C845BD" w:rsidRPr="00247252" w:rsidRDefault="009F1503" w:rsidP="002E0A37">
      <w:pPr>
        <w:pStyle w:val="ListParagraph"/>
        <w:numPr>
          <w:ilvl w:val="0"/>
          <w:numId w:val="36"/>
        </w:numPr>
        <w:ind w:left="1440"/>
      </w:pPr>
      <w:r w:rsidRPr="00247252">
        <w:t>Parcels</w:t>
      </w:r>
    </w:p>
    <w:p w14:paraId="493D0EE4" w14:textId="52010553" w:rsidR="00B02F02" w:rsidRPr="00247252" w:rsidRDefault="002A1B0F" w:rsidP="002E0A37">
      <w:pPr>
        <w:pStyle w:val="ListParagraph"/>
        <w:numPr>
          <w:ilvl w:val="0"/>
          <w:numId w:val="36"/>
        </w:numPr>
        <w:ind w:left="1440"/>
      </w:pPr>
      <w:r w:rsidRPr="00247252">
        <w:t xml:space="preserve">Current </w:t>
      </w:r>
      <w:r w:rsidR="00797196" w:rsidRPr="00247252">
        <w:t xml:space="preserve">Road Network </w:t>
      </w:r>
      <w:r w:rsidR="009F1503" w:rsidRPr="00247252">
        <w:t>Centerline Files</w:t>
      </w:r>
    </w:p>
    <w:p w14:paraId="26E91FF1" w14:textId="1F32078A" w:rsidR="00B02F02" w:rsidRPr="00247252" w:rsidRDefault="00B02F02" w:rsidP="002E0A37">
      <w:pPr>
        <w:pStyle w:val="ListParagraph"/>
        <w:numPr>
          <w:ilvl w:val="0"/>
          <w:numId w:val="36"/>
        </w:numPr>
        <w:ind w:left="1440"/>
      </w:pPr>
      <w:r w:rsidRPr="00247252">
        <w:t>Urban</w:t>
      </w:r>
      <w:r w:rsidR="000B35A6" w:rsidRPr="00247252">
        <w:t>ized</w:t>
      </w:r>
      <w:r w:rsidRPr="00247252">
        <w:t xml:space="preserve"> Area</w:t>
      </w:r>
    </w:p>
    <w:p w14:paraId="29F1FA2C" w14:textId="2C98AA08" w:rsidR="00A73661" w:rsidRPr="00247252" w:rsidRDefault="00A73661" w:rsidP="002E0A37">
      <w:pPr>
        <w:pStyle w:val="ListParagraph"/>
        <w:numPr>
          <w:ilvl w:val="0"/>
          <w:numId w:val="36"/>
        </w:numPr>
        <w:ind w:left="1440"/>
      </w:pPr>
      <w:r w:rsidRPr="00247252">
        <w:t>MPO Planning Area</w:t>
      </w:r>
    </w:p>
    <w:p w14:paraId="14402900" w14:textId="17B212B6" w:rsidR="00A73661" w:rsidRPr="00247252" w:rsidRDefault="00BE0ADA" w:rsidP="002E0A37">
      <w:pPr>
        <w:pStyle w:val="ListParagraph"/>
        <w:numPr>
          <w:ilvl w:val="0"/>
          <w:numId w:val="36"/>
        </w:numPr>
        <w:ind w:left="1440"/>
      </w:pPr>
      <w:r w:rsidRPr="00247252">
        <w:t>Traffic Analysis Zones</w:t>
      </w:r>
    </w:p>
    <w:p w14:paraId="0F1E1F40" w14:textId="0D53DB53" w:rsidR="00B02F02" w:rsidRPr="00247252" w:rsidRDefault="000B35A6" w:rsidP="002E0A37">
      <w:pPr>
        <w:pStyle w:val="ListParagraph"/>
        <w:numPr>
          <w:ilvl w:val="0"/>
          <w:numId w:val="36"/>
        </w:numPr>
        <w:ind w:left="1440"/>
      </w:pPr>
      <w:r w:rsidRPr="00247252">
        <w:t xml:space="preserve">2024 Aerial Imagery </w:t>
      </w:r>
    </w:p>
    <w:p w14:paraId="1AF9CCA0" w14:textId="7BF003D5" w:rsidR="005E7127" w:rsidRPr="00247252" w:rsidRDefault="005E7127" w:rsidP="002E0A37">
      <w:pPr>
        <w:pStyle w:val="ListParagraph"/>
        <w:numPr>
          <w:ilvl w:val="0"/>
          <w:numId w:val="36"/>
        </w:numPr>
        <w:ind w:left="1440"/>
      </w:pPr>
      <w:r w:rsidRPr="00247252">
        <w:t>Current Land Use</w:t>
      </w:r>
    </w:p>
    <w:p w14:paraId="63142A7B" w14:textId="51F002D2" w:rsidR="005E7127" w:rsidRPr="00247252" w:rsidRDefault="006074E4" w:rsidP="002E0A37">
      <w:pPr>
        <w:pStyle w:val="ListParagraph"/>
        <w:numPr>
          <w:ilvl w:val="0"/>
          <w:numId w:val="36"/>
        </w:numPr>
        <w:ind w:left="1440"/>
      </w:pPr>
      <w:r w:rsidRPr="00247252">
        <w:t>Multi-use Trail Network</w:t>
      </w:r>
    </w:p>
    <w:p w14:paraId="16201EAF" w14:textId="47E7BB17" w:rsidR="006074E4" w:rsidRPr="00247252" w:rsidRDefault="006074E4" w:rsidP="002E0A37">
      <w:pPr>
        <w:pStyle w:val="ListParagraph"/>
        <w:numPr>
          <w:ilvl w:val="0"/>
          <w:numId w:val="36"/>
        </w:numPr>
        <w:ind w:left="1440"/>
      </w:pPr>
      <w:r w:rsidRPr="00247252">
        <w:t>Public Transportation Fixed Routes</w:t>
      </w:r>
    </w:p>
    <w:p w14:paraId="0398F85B" w14:textId="09F4313D" w:rsidR="000531B2" w:rsidRPr="00247252" w:rsidRDefault="00CA3035" w:rsidP="002E0A37">
      <w:pPr>
        <w:pStyle w:val="ListParagraph"/>
        <w:numPr>
          <w:ilvl w:val="0"/>
          <w:numId w:val="36"/>
        </w:numPr>
        <w:ind w:left="1440"/>
      </w:pPr>
      <w:r w:rsidRPr="00247252">
        <w:t xml:space="preserve">Other </w:t>
      </w:r>
      <w:r w:rsidR="002418E8" w:rsidRPr="00247252">
        <w:t xml:space="preserve">Common </w:t>
      </w:r>
      <w:r w:rsidRPr="00247252">
        <w:t>Base Map Features</w:t>
      </w:r>
    </w:p>
    <w:p w14:paraId="6A236084" w14:textId="77777777" w:rsidR="006074E4" w:rsidRPr="00E367E3" w:rsidRDefault="006074E4" w:rsidP="00665FEC">
      <w:pPr>
        <w:ind w:left="1080"/>
      </w:pPr>
    </w:p>
    <w:p w14:paraId="033D0883" w14:textId="3E82DCC0" w:rsidR="001E1B13" w:rsidRPr="00E367E3" w:rsidRDefault="001E1B13" w:rsidP="007303F0">
      <w:pPr>
        <w:pStyle w:val="Heading2"/>
      </w:pPr>
      <w:r w:rsidRPr="00E367E3">
        <w:t>Other Documents</w:t>
      </w:r>
    </w:p>
    <w:p w14:paraId="797D6F17" w14:textId="16BB8CBF" w:rsidR="001E0BF1" w:rsidRPr="00E367E3" w:rsidRDefault="00E8594C" w:rsidP="00247252">
      <w:pPr>
        <w:pStyle w:val="ListParagraph"/>
        <w:numPr>
          <w:ilvl w:val="0"/>
          <w:numId w:val="37"/>
        </w:numPr>
        <w:ind w:left="1440"/>
        <w:rPr>
          <w:rFonts w:cstheme="majorHAnsi"/>
        </w:rPr>
      </w:pPr>
      <w:r w:rsidRPr="00E367E3">
        <w:rPr>
          <w:lang w:val="fr-FR"/>
        </w:rPr>
        <w:t xml:space="preserve">Public Participation </w:t>
      </w:r>
      <w:r w:rsidR="00266756" w:rsidRPr="00E367E3">
        <w:rPr>
          <w:lang w:val="fr-FR"/>
        </w:rPr>
        <w:t>Plan :</w:t>
      </w:r>
      <w:r w:rsidR="005B5FEB" w:rsidRPr="00E367E3">
        <w:rPr>
          <w:lang w:val="fr-FR"/>
        </w:rPr>
        <w:t xml:space="preserve"> </w:t>
      </w:r>
      <w:hyperlink r:id="rId14" w:history="1">
        <w:r w:rsidR="005B5FEB" w:rsidRPr="00E367E3">
          <w:rPr>
            <w:rStyle w:val="Hyperlink"/>
            <w:rFonts w:cstheme="majorHAnsi"/>
            <w:lang w:val="fr-FR"/>
          </w:rPr>
          <w:t>https://eastgrandforksmetro.hosted.civiclive.com/public_participation/public_participation_plan_ppp</w:t>
        </w:r>
      </w:hyperlink>
      <w:r w:rsidR="00247252" w:rsidRPr="00E367E3">
        <w:rPr>
          <w:rFonts w:cstheme="majorHAnsi"/>
        </w:rPr>
        <w:t xml:space="preserve"> </w:t>
      </w:r>
    </w:p>
    <w:p w14:paraId="573F348E" w14:textId="6F8A035F" w:rsidR="00C52B36" w:rsidRPr="00E367E3" w:rsidRDefault="00C52B36" w:rsidP="00247252">
      <w:pPr>
        <w:pStyle w:val="ListParagraph"/>
        <w:numPr>
          <w:ilvl w:val="0"/>
          <w:numId w:val="37"/>
        </w:numPr>
        <w:ind w:left="1440"/>
        <w:rPr>
          <w:rFonts w:cstheme="majorHAnsi"/>
        </w:rPr>
      </w:pPr>
      <w:r w:rsidRPr="00E367E3">
        <w:rPr>
          <w:lang w:val="fr-FR"/>
        </w:rPr>
        <w:t xml:space="preserve">Historic </w:t>
      </w:r>
      <w:proofErr w:type="spellStart"/>
      <w:r w:rsidRPr="00E367E3">
        <w:rPr>
          <w:lang w:val="fr-FR"/>
        </w:rPr>
        <w:t>TIPs</w:t>
      </w:r>
      <w:proofErr w:type="spellEnd"/>
    </w:p>
    <w:p w14:paraId="38D5168F" w14:textId="2EF88A3B" w:rsidR="004C319F" w:rsidRPr="00E367E3" w:rsidRDefault="006515A5" w:rsidP="002E0A37">
      <w:pPr>
        <w:pStyle w:val="ListParagraph"/>
        <w:numPr>
          <w:ilvl w:val="0"/>
          <w:numId w:val="37"/>
        </w:numPr>
        <w:ind w:left="1440"/>
        <w:rPr>
          <w:lang w:val="fr-FR"/>
        </w:rPr>
      </w:pPr>
      <w:r w:rsidRPr="00E367E3">
        <w:rPr>
          <w:lang w:val="fr-FR"/>
        </w:rPr>
        <w:lastRenderedPageBreak/>
        <w:t xml:space="preserve">2050 </w:t>
      </w:r>
      <w:proofErr w:type="spellStart"/>
      <w:r w:rsidRPr="00E367E3">
        <w:rPr>
          <w:lang w:val="fr-FR"/>
        </w:rPr>
        <w:t>Metropolitan</w:t>
      </w:r>
      <w:proofErr w:type="spellEnd"/>
      <w:r w:rsidRPr="00E367E3">
        <w:rPr>
          <w:lang w:val="fr-FR"/>
        </w:rPr>
        <w:t xml:space="preserve"> Transportation </w:t>
      </w:r>
      <w:proofErr w:type="gramStart"/>
      <w:r w:rsidRPr="00E367E3">
        <w:rPr>
          <w:lang w:val="fr-FR"/>
        </w:rPr>
        <w:t>Plan</w:t>
      </w:r>
      <w:r w:rsidR="00144144" w:rsidRPr="00E367E3">
        <w:rPr>
          <w:lang w:val="fr-FR"/>
        </w:rPr>
        <w:t>:</w:t>
      </w:r>
      <w:proofErr w:type="gramEnd"/>
      <w:r w:rsidRPr="00E367E3">
        <w:rPr>
          <w:lang w:val="fr-FR"/>
        </w:rPr>
        <w:t xml:space="preserve"> </w:t>
      </w:r>
      <w:r w:rsidR="00144144" w:rsidRPr="00E367E3">
        <w:rPr>
          <w:lang w:val="fr-FR"/>
        </w:rPr>
        <w:t xml:space="preserve"> </w:t>
      </w:r>
      <w:hyperlink r:id="rId15" w:history="1">
        <w:r w:rsidR="007F3625" w:rsidRPr="00E367E3">
          <w:rPr>
            <w:rStyle w:val="Hyperlink"/>
            <w:lang w:val="fr-FR"/>
          </w:rPr>
          <w:t>https://www.theforksmpo.org/plans_projects/2050_metropolitan_transportation_plan</w:t>
        </w:r>
      </w:hyperlink>
    </w:p>
    <w:p w14:paraId="6A64501D" w14:textId="01B8AD5B" w:rsidR="00C85915" w:rsidRPr="00E367E3" w:rsidRDefault="00E829D7" w:rsidP="002E0A37">
      <w:pPr>
        <w:pStyle w:val="ListParagraph"/>
        <w:numPr>
          <w:ilvl w:val="0"/>
          <w:numId w:val="37"/>
        </w:numPr>
        <w:ind w:left="1440"/>
        <w:rPr>
          <w:lang w:val="fr-FR"/>
        </w:rPr>
      </w:pPr>
      <w:r w:rsidRPr="00E367E3">
        <w:rPr>
          <w:lang w:val="fr-FR"/>
        </w:rPr>
        <w:t xml:space="preserve">Grand Forks-East Grand Forks Transit </w:t>
      </w:r>
      <w:proofErr w:type="spellStart"/>
      <w:r w:rsidRPr="00E367E3">
        <w:rPr>
          <w:lang w:val="fr-FR"/>
        </w:rPr>
        <w:t>Development</w:t>
      </w:r>
      <w:proofErr w:type="spellEnd"/>
      <w:r w:rsidRPr="00E367E3">
        <w:rPr>
          <w:lang w:val="fr-FR"/>
        </w:rPr>
        <w:t xml:space="preserve"> Pl</w:t>
      </w:r>
      <w:r w:rsidR="00E367E3" w:rsidRPr="00E367E3">
        <w:rPr>
          <w:lang w:val="fr-FR"/>
        </w:rPr>
        <w:t xml:space="preserve">an : </w:t>
      </w:r>
      <w:hyperlink r:id="rId16" w:history="1">
        <w:r w:rsidR="00E367E3" w:rsidRPr="00E367E3">
          <w:rPr>
            <w:rStyle w:val="Hyperlink"/>
            <w:lang w:val="fr-FR"/>
          </w:rPr>
          <w:t>https://www.theforksmpo.org/common/pages/GetFile.ashx?key=HAUnAcT7</w:t>
        </w:r>
      </w:hyperlink>
      <w:r w:rsidR="00E367E3" w:rsidRPr="00E367E3">
        <w:rPr>
          <w:lang w:val="fr-FR"/>
        </w:rPr>
        <w:t xml:space="preserve"> </w:t>
      </w:r>
    </w:p>
    <w:p w14:paraId="342EB93C" w14:textId="1C2E9549" w:rsidR="00247252" w:rsidRPr="00E367E3" w:rsidRDefault="00EF1E98" w:rsidP="002E0A37">
      <w:pPr>
        <w:pStyle w:val="ListParagraph"/>
        <w:numPr>
          <w:ilvl w:val="0"/>
          <w:numId w:val="37"/>
        </w:numPr>
        <w:ind w:left="1440"/>
        <w:rPr>
          <w:lang w:val="fr-FR"/>
        </w:rPr>
      </w:pPr>
      <w:r w:rsidRPr="00E367E3">
        <w:rPr>
          <w:lang w:val="fr-FR"/>
        </w:rPr>
        <w:t>Safe Streets for All Plan</w:t>
      </w:r>
      <w:r w:rsidR="00AC59BA" w:rsidRPr="00E367E3">
        <w:rPr>
          <w:lang w:val="fr-FR"/>
        </w:rPr>
        <w:t xml:space="preserve"> : </w:t>
      </w:r>
      <w:hyperlink r:id="rId17" w:history="1">
        <w:r w:rsidR="00AC59BA" w:rsidRPr="00E367E3">
          <w:rPr>
            <w:rStyle w:val="Hyperlink"/>
            <w:lang w:val="fr-FR"/>
          </w:rPr>
          <w:t>https://cdnsm5-hosted.civiclive.com/UserFiles/Servers/Server_16222865/File/Plans%20and%20Programs/SS4A/FINAL_SS4A%20Plan_With%20Appendices.pdf</w:t>
        </w:r>
      </w:hyperlink>
      <w:r w:rsidR="00AC59BA" w:rsidRPr="00E367E3">
        <w:rPr>
          <w:lang w:val="fr-FR"/>
        </w:rPr>
        <w:t xml:space="preserve"> </w:t>
      </w:r>
    </w:p>
    <w:p w14:paraId="4EFB4573" w14:textId="7062A2C6" w:rsidR="00AC59BA" w:rsidRPr="00E367E3" w:rsidRDefault="00296612" w:rsidP="002E0A37">
      <w:pPr>
        <w:pStyle w:val="ListParagraph"/>
        <w:numPr>
          <w:ilvl w:val="0"/>
          <w:numId w:val="37"/>
        </w:numPr>
        <w:ind w:left="1440"/>
        <w:rPr>
          <w:lang w:val="fr-FR"/>
        </w:rPr>
      </w:pPr>
      <w:proofErr w:type="spellStart"/>
      <w:r w:rsidRPr="00E367E3">
        <w:rPr>
          <w:lang w:val="fr-FR"/>
        </w:rPr>
        <w:t>Microtransit</w:t>
      </w:r>
      <w:proofErr w:type="spellEnd"/>
      <w:r w:rsidRPr="00E367E3">
        <w:rPr>
          <w:lang w:val="fr-FR"/>
        </w:rPr>
        <w:t xml:space="preserve"> </w:t>
      </w:r>
      <w:proofErr w:type="spellStart"/>
      <w:r w:rsidRPr="00E367E3">
        <w:rPr>
          <w:lang w:val="fr-FR"/>
        </w:rPr>
        <w:t>Feasibility</w:t>
      </w:r>
      <w:proofErr w:type="spellEnd"/>
      <w:r w:rsidRPr="00E367E3">
        <w:rPr>
          <w:lang w:val="fr-FR"/>
        </w:rPr>
        <w:t xml:space="preserve">, Design, and </w:t>
      </w:r>
      <w:proofErr w:type="spellStart"/>
      <w:r w:rsidRPr="00E367E3">
        <w:rPr>
          <w:lang w:val="fr-FR"/>
        </w:rPr>
        <w:t>Implementation</w:t>
      </w:r>
      <w:proofErr w:type="spellEnd"/>
      <w:r w:rsidRPr="00E367E3">
        <w:rPr>
          <w:lang w:val="fr-FR"/>
        </w:rPr>
        <w:t xml:space="preserve"> Plan</w:t>
      </w:r>
      <w:r w:rsidR="00C85915" w:rsidRPr="00E367E3">
        <w:rPr>
          <w:lang w:val="fr-FR"/>
        </w:rPr>
        <w:t> :</w:t>
      </w:r>
      <w:r w:rsidR="00C85915" w:rsidRPr="00E367E3">
        <w:t xml:space="preserve"> </w:t>
      </w:r>
      <w:hyperlink r:id="rId18" w:history="1">
        <w:r w:rsidR="00C85915" w:rsidRPr="00E367E3">
          <w:rPr>
            <w:rStyle w:val="Hyperlink"/>
            <w:lang w:val="fr-FR"/>
          </w:rPr>
          <w:t>https://cdnsm5-hosted.civiclive.com/UserFiles/Servers/Server_16222865/File/Plans%20and%20Programs/Microtransit/Microtransit%20Feasibility,%20Design,%20and%20Implementation%20Plan_with%20appendices.pdf</w:t>
        </w:r>
      </w:hyperlink>
      <w:r w:rsidR="00C85915" w:rsidRPr="00E367E3">
        <w:rPr>
          <w:lang w:val="fr-FR"/>
        </w:rPr>
        <w:t xml:space="preserve">  </w:t>
      </w:r>
    </w:p>
    <w:p w14:paraId="735689A0" w14:textId="4A3EFD00" w:rsidR="00E773FE" w:rsidRPr="00E367E3" w:rsidRDefault="003C4150" w:rsidP="002E0A37">
      <w:pPr>
        <w:pStyle w:val="ListParagraph"/>
        <w:numPr>
          <w:ilvl w:val="0"/>
          <w:numId w:val="37"/>
        </w:numPr>
        <w:ind w:left="1440"/>
        <w:rPr>
          <w:rStyle w:val="Hyperlink"/>
          <w:rFonts w:cstheme="majorHAnsi"/>
          <w:color w:val="auto"/>
          <w:u w:val="none"/>
        </w:rPr>
      </w:pPr>
      <w:r w:rsidRPr="00E367E3">
        <w:rPr>
          <w:rFonts w:cstheme="majorHAnsi"/>
        </w:rPr>
        <w:t xml:space="preserve">MPO Website: </w:t>
      </w:r>
      <w:hyperlink r:id="rId19" w:history="1">
        <w:r w:rsidR="006515A5" w:rsidRPr="00E367E3">
          <w:rPr>
            <w:rStyle w:val="Hyperlink"/>
            <w:rFonts w:cstheme="majorHAnsi"/>
          </w:rPr>
          <w:t>https://www.theforksmpo.org/</w:t>
        </w:r>
      </w:hyperlink>
    </w:p>
    <w:p w14:paraId="7117033D" w14:textId="77777777" w:rsidR="00AE7914" w:rsidRPr="004B5D93" w:rsidRDefault="00AE7914" w:rsidP="00DD6983">
      <w:pPr>
        <w:rPr>
          <w:color w:val="auto"/>
          <w:highlight w:val="magenta"/>
        </w:rPr>
      </w:pPr>
    </w:p>
    <w:p w14:paraId="6DFE8CE7" w14:textId="372D4080" w:rsidR="0011382B" w:rsidRPr="004B5D93" w:rsidRDefault="00117EB6" w:rsidP="00B155CB">
      <w:pPr>
        <w:ind w:left="0"/>
        <w:rPr>
          <w:color w:val="auto"/>
          <w:highlight w:val="magenta"/>
        </w:rPr>
      </w:pPr>
      <w:r w:rsidRPr="004B5D93">
        <w:rPr>
          <w:color w:val="auto"/>
          <w:highlight w:val="magenta"/>
        </w:rPr>
        <w:br w:type="page"/>
      </w:r>
    </w:p>
    <w:p w14:paraId="750420C7" w14:textId="0DEEB0DF" w:rsidR="00CF4DF5" w:rsidRPr="004B5D93" w:rsidRDefault="00CF4DF5" w:rsidP="00DD6983">
      <w:pPr>
        <w:pStyle w:val="Heading1"/>
        <w:rPr>
          <w:color w:val="auto"/>
        </w:rPr>
      </w:pPr>
      <w:bookmarkStart w:id="21" w:name="_Toc172279727"/>
      <w:bookmarkStart w:id="22" w:name="_Toc193968947"/>
      <w:r w:rsidRPr="004B5D93">
        <w:rPr>
          <w:color w:val="auto"/>
        </w:rPr>
        <w:lastRenderedPageBreak/>
        <w:t>Map of Project Area</w:t>
      </w:r>
      <w:bookmarkEnd w:id="21"/>
      <w:bookmarkEnd w:id="22"/>
    </w:p>
    <w:p w14:paraId="5EDF3E72" w14:textId="438520F6" w:rsidR="00CF4DF5" w:rsidRPr="004B5D93" w:rsidRDefault="00CF4DF5" w:rsidP="00DD6983">
      <w:pPr>
        <w:rPr>
          <w:color w:val="auto"/>
        </w:rPr>
      </w:pPr>
    </w:p>
    <w:p w14:paraId="5F10605C" w14:textId="5DA823BF" w:rsidR="00A710EF" w:rsidRDefault="00A710EF" w:rsidP="00DD6983">
      <w:pPr>
        <w:pStyle w:val="BodyText"/>
      </w:pPr>
    </w:p>
    <w:p w14:paraId="43C29DBB" w14:textId="16704C67" w:rsidR="00A710EF" w:rsidRDefault="00845FA9" w:rsidP="00DD6983">
      <w:pPr>
        <w:pStyle w:val="BodyText"/>
      </w:pPr>
      <w:r>
        <w:rPr>
          <w:noProof/>
        </w:rPr>
        <w:drawing>
          <wp:anchor distT="0" distB="0" distL="114300" distR="114300" simplePos="0" relativeHeight="251659268" behindDoc="0" locked="0" layoutInCell="1" allowOverlap="1" wp14:anchorId="1EAB3F10" wp14:editId="2FBA474B">
            <wp:simplePos x="0" y="0"/>
            <wp:positionH relativeFrom="column">
              <wp:posOffset>554990</wp:posOffset>
            </wp:positionH>
            <wp:positionV relativeFrom="paragraph">
              <wp:posOffset>60325</wp:posOffset>
            </wp:positionV>
            <wp:extent cx="5946775" cy="7696200"/>
            <wp:effectExtent l="0" t="0" r="0" b="0"/>
            <wp:wrapSquare wrapText="bothSides"/>
            <wp:docPr id="1508655619" name="Picture 6" descr="The image depicts a detailed map showing the Grand Forks-East Grand Forks Metropolitan Planning Organization Area, with various roads, highways, and key locations like State Hwy 220 and US Hw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55619" name="Picture 6" descr="The image depicts a detailed map showing the Grand Forks-East Grand Forks Metropolitan Planning Organization Area, with various roads, highways, and key locations like State Hwy 220 and US Hwy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6775" cy="769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8E39C" w14:textId="6EA025B5" w:rsidR="00A710EF" w:rsidRDefault="00A710EF" w:rsidP="00DD6983">
      <w:pPr>
        <w:pStyle w:val="BodyText"/>
      </w:pPr>
    </w:p>
    <w:p w14:paraId="46E2C86D" w14:textId="052FD4BE" w:rsidR="00A710EF" w:rsidRDefault="00A710EF" w:rsidP="00DD6983">
      <w:pPr>
        <w:pStyle w:val="BodyText"/>
      </w:pPr>
    </w:p>
    <w:p w14:paraId="17013A05" w14:textId="251B7FC0" w:rsidR="00A710EF" w:rsidRDefault="00A710EF" w:rsidP="00DD6983">
      <w:pPr>
        <w:pStyle w:val="BodyText"/>
      </w:pPr>
    </w:p>
    <w:p w14:paraId="2B00A97D" w14:textId="6E7379B9" w:rsidR="00A710EF" w:rsidRDefault="00A710EF" w:rsidP="00DD6983">
      <w:pPr>
        <w:pStyle w:val="BodyText"/>
      </w:pPr>
    </w:p>
    <w:p w14:paraId="7C9B3F0F" w14:textId="64AC5C68" w:rsidR="00A710EF" w:rsidRDefault="00A710EF" w:rsidP="00DD6983">
      <w:pPr>
        <w:pStyle w:val="BodyText"/>
      </w:pPr>
    </w:p>
    <w:p w14:paraId="24241870" w14:textId="38ECFAD6" w:rsidR="00A710EF" w:rsidRDefault="00A710EF" w:rsidP="00DD6983">
      <w:pPr>
        <w:pStyle w:val="BodyText"/>
      </w:pPr>
    </w:p>
    <w:p w14:paraId="47958F02" w14:textId="53DE744E" w:rsidR="00A710EF" w:rsidRDefault="00A710EF" w:rsidP="00DD6983">
      <w:pPr>
        <w:pStyle w:val="BodyText"/>
      </w:pPr>
    </w:p>
    <w:p w14:paraId="358FFEB0" w14:textId="2B9F8D2D" w:rsidR="00A710EF" w:rsidRDefault="00A710EF" w:rsidP="00DD6983">
      <w:pPr>
        <w:pStyle w:val="BodyText"/>
      </w:pPr>
    </w:p>
    <w:p w14:paraId="2A99F9C6" w14:textId="5D92A8CB" w:rsidR="00A710EF" w:rsidRDefault="00A710EF" w:rsidP="00DD6983">
      <w:pPr>
        <w:pStyle w:val="BodyText"/>
      </w:pPr>
    </w:p>
    <w:p w14:paraId="3042272C" w14:textId="3B4B8E2D" w:rsidR="00A710EF" w:rsidRDefault="00A710EF" w:rsidP="00DD6983">
      <w:pPr>
        <w:pStyle w:val="BodyText"/>
      </w:pPr>
    </w:p>
    <w:p w14:paraId="2390CC6F" w14:textId="56D38240" w:rsidR="00A710EF" w:rsidRDefault="00A710EF" w:rsidP="00DD6983">
      <w:pPr>
        <w:pStyle w:val="BodyText"/>
      </w:pPr>
    </w:p>
    <w:p w14:paraId="5C385808" w14:textId="4B158697" w:rsidR="00A710EF" w:rsidRDefault="00A710EF" w:rsidP="00DD6983">
      <w:pPr>
        <w:pStyle w:val="BodyText"/>
      </w:pPr>
    </w:p>
    <w:p w14:paraId="31827F8E" w14:textId="76643E21" w:rsidR="00A710EF" w:rsidRDefault="00A710EF" w:rsidP="00DD6983">
      <w:pPr>
        <w:pStyle w:val="BodyText"/>
      </w:pPr>
    </w:p>
    <w:p w14:paraId="7EB06621" w14:textId="504B00CA" w:rsidR="00A710EF" w:rsidRDefault="00A710EF" w:rsidP="00DD6983">
      <w:pPr>
        <w:pStyle w:val="BodyText"/>
      </w:pPr>
    </w:p>
    <w:p w14:paraId="686A2883" w14:textId="4BA10F58" w:rsidR="00A710EF" w:rsidRDefault="00A710EF" w:rsidP="00DD6983">
      <w:pPr>
        <w:pStyle w:val="BodyText"/>
      </w:pPr>
    </w:p>
    <w:p w14:paraId="7CD67011" w14:textId="499638DB" w:rsidR="00A710EF" w:rsidRDefault="00A710EF" w:rsidP="00DD6983">
      <w:pPr>
        <w:pStyle w:val="BodyText"/>
      </w:pPr>
    </w:p>
    <w:p w14:paraId="23100CFE" w14:textId="39CF212C" w:rsidR="00A710EF" w:rsidRDefault="00A710EF" w:rsidP="00DD6983">
      <w:pPr>
        <w:pStyle w:val="BodyText"/>
      </w:pPr>
    </w:p>
    <w:p w14:paraId="5A3877F7" w14:textId="435F168C" w:rsidR="00A710EF" w:rsidRDefault="00A710EF" w:rsidP="00DD6983">
      <w:pPr>
        <w:pStyle w:val="BodyText"/>
      </w:pPr>
    </w:p>
    <w:p w14:paraId="31F0CE34" w14:textId="7E237675" w:rsidR="00A710EF" w:rsidRDefault="00A710EF" w:rsidP="00DD6983">
      <w:pPr>
        <w:pStyle w:val="BodyText"/>
      </w:pPr>
    </w:p>
    <w:p w14:paraId="318450FA" w14:textId="3C236501" w:rsidR="00A710EF" w:rsidRDefault="00A710EF" w:rsidP="00DD6983">
      <w:pPr>
        <w:pStyle w:val="BodyText"/>
      </w:pPr>
    </w:p>
    <w:p w14:paraId="34E6BD91" w14:textId="1303343A" w:rsidR="00A710EF" w:rsidRDefault="00A710EF" w:rsidP="00DD6983">
      <w:pPr>
        <w:pStyle w:val="BodyText"/>
      </w:pPr>
    </w:p>
    <w:p w14:paraId="1A7496F7" w14:textId="332E1824" w:rsidR="008749A5" w:rsidRDefault="008749A5" w:rsidP="00DD6983">
      <w:pPr>
        <w:rPr>
          <w:rFonts w:ascii="Times New Roman" w:eastAsia="Times New Roman" w:hAnsi="Times New Roman" w:cs="Times New Roman"/>
          <w:lang w:bidi="en-US"/>
        </w:rPr>
      </w:pPr>
      <w:r>
        <w:br w:type="page"/>
      </w:r>
    </w:p>
    <w:p w14:paraId="1FF7BF88" w14:textId="77777777" w:rsidR="008749A5" w:rsidRDefault="008749A5" w:rsidP="00DD6983">
      <w:pPr>
        <w:pStyle w:val="BodyText"/>
      </w:pPr>
    </w:p>
    <w:p w14:paraId="63A15487" w14:textId="77777777" w:rsidR="008749A5" w:rsidRDefault="008749A5" w:rsidP="00DD6983">
      <w:pPr>
        <w:pStyle w:val="BodyText"/>
      </w:pPr>
    </w:p>
    <w:p w14:paraId="62D0C5A1" w14:textId="77777777" w:rsidR="008749A5" w:rsidRDefault="008749A5" w:rsidP="00DD6983">
      <w:pPr>
        <w:pStyle w:val="BodyText"/>
      </w:pPr>
    </w:p>
    <w:p w14:paraId="2A9D7D8C" w14:textId="77777777" w:rsidR="008749A5" w:rsidRDefault="008749A5" w:rsidP="00DD6983">
      <w:pPr>
        <w:pStyle w:val="BodyText"/>
      </w:pPr>
    </w:p>
    <w:p w14:paraId="76647587" w14:textId="77777777" w:rsidR="008749A5" w:rsidRDefault="008749A5" w:rsidP="00DD6983">
      <w:pPr>
        <w:pStyle w:val="BodyText"/>
      </w:pPr>
    </w:p>
    <w:p w14:paraId="4F9E8976" w14:textId="77777777" w:rsidR="008749A5" w:rsidRDefault="008749A5" w:rsidP="00DD6983">
      <w:pPr>
        <w:pStyle w:val="BodyText"/>
      </w:pPr>
    </w:p>
    <w:p w14:paraId="425312D5" w14:textId="77777777" w:rsidR="008749A5" w:rsidRDefault="008749A5" w:rsidP="00DD6983">
      <w:pPr>
        <w:pStyle w:val="BodyText"/>
      </w:pPr>
    </w:p>
    <w:p w14:paraId="74EECAF4" w14:textId="77777777" w:rsidR="008749A5" w:rsidRDefault="008749A5" w:rsidP="00DD6983">
      <w:pPr>
        <w:pStyle w:val="BodyText"/>
      </w:pPr>
    </w:p>
    <w:p w14:paraId="25DFD4CE" w14:textId="77777777" w:rsidR="008749A5" w:rsidRDefault="008749A5" w:rsidP="00DD6983">
      <w:pPr>
        <w:pStyle w:val="BodyText"/>
      </w:pPr>
    </w:p>
    <w:p w14:paraId="1BFF5409" w14:textId="77777777" w:rsidR="008749A5" w:rsidRDefault="008749A5" w:rsidP="00DD6983">
      <w:pPr>
        <w:pStyle w:val="BodyText"/>
      </w:pPr>
    </w:p>
    <w:p w14:paraId="303D81E4" w14:textId="77777777" w:rsidR="008749A5" w:rsidRDefault="008749A5" w:rsidP="00DD6983">
      <w:pPr>
        <w:pStyle w:val="BodyText"/>
      </w:pPr>
    </w:p>
    <w:p w14:paraId="7CF752A8" w14:textId="45E48F6A" w:rsidR="00A710EF" w:rsidRPr="00952385" w:rsidRDefault="00A710EF" w:rsidP="00EB3DA0">
      <w:pPr>
        <w:pStyle w:val="AppendixHeading"/>
      </w:pPr>
      <w:bookmarkStart w:id="23" w:name="_Toc193968948"/>
      <w:r w:rsidRPr="00952385">
        <w:t>Appendix A</w:t>
      </w:r>
      <w:r w:rsidR="00D005FE">
        <w:t xml:space="preserve">: </w:t>
      </w:r>
      <w:r w:rsidR="00A62DBD">
        <w:t xml:space="preserve">Attachments </w:t>
      </w:r>
      <w:r w:rsidR="00FE675B">
        <w:t>to Be Filled Out</w:t>
      </w:r>
      <w:bookmarkEnd w:id="23"/>
    </w:p>
    <w:p w14:paraId="5651CC3F" w14:textId="1B156634" w:rsidR="00A710EF" w:rsidRDefault="00A710EF" w:rsidP="00DD6983">
      <w:pPr>
        <w:rPr>
          <w:rFonts w:ascii="Times New Roman" w:eastAsia="Times New Roman" w:hAnsi="Times New Roman" w:cs="Times New Roman"/>
          <w:lang w:bidi="en-US"/>
        </w:rPr>
      </w:pPr>
      <w:r>
        <w:br w:type="page"/>
      </w:r>
    </w:p>
    <w:p w14:paraId="55D87A61" w14:textId="3CEF6556" w:rsidR="00A710EF" w:rsidRPr="00E106FB" w:rsidRDefault="008B5E2B" w:rsidP="00E106FB">
      <w:pPr>
        <w:pStyle w:val="BodyText"/>
        <w:ind w:left="-90"/>
        <w:jc w:val="center"/>
        <w:rPr>
          <w:b/>
          <w:bCs/>
          <w:u w:val="single"/>
        </w:rPr>
      </w:pPr>
      <w:r w:rsidRPr="00E106FB">
        <w:rPr>
          <w:b/>
          <w:bCs/>
          <w:u w:val="single"/>
        </w:rPr>
        <w:lastRenderedPageBreak/>
        <w:t xml:space="preserve">Government-Wide </w:t>
      </w:r>
      <w:r w:rsidR="00A710EF" w:rsidRPr="00E106FB">
        <w:rPr>
          <w:b/>
          <w:bCs/>
          <w:u w:val="single"/>
        </w:rPr>
        <w:t xml:space="preserve">Debarment </w:t>
      </w:r>
      <w:r w:rsidR="00337803" w:rsidRPr="00E106FB">
        <w:rPr>
          <w:b/>
          <w:bCs/>
          <w:u w:val="single"/>
        </w:rPr>
        <w:t>and</w:t>
      </w:r>
      <w:r w:rsidR="00A710EF" w:rsidRPr="00E106FB">
        <w:rPr>
          <w:b/>
          <w:bCs/>
          <w:u w:val="single"/>
        </w:rPr>
        <w:t xml:space="preserve"> Suspension</w:t>
      </w:r>
      <w:r w:rsidR="00337803" w:rsidRPr="00E106FB">
        <w:rPr>
          <w:b/>
          <w:bCs/>
          <w:u w:val="single"/>
        </w:rPr>
        <w:t xml:space="preserve"> (Non-procurement)</w:t>
      </w:r>
    </w:p>
    <w:p w14:paraId="470F6BAF" w14:textId="267F2FAC" w:rsidR="00337803" w:rsidRPr="005F6B92" w:rsidRDefault="00337803" w:rsidP="00E106FB">
      <w:pPr>
        <w:pStyle w:val="BodyText"/>
        <w:ind w:left="-90"/>
        <w:jc w:val="center"/>
        <w:rPr>
          <w:i/>
          <w:iCs/>
          <w:sz w:val="20"/>
          <w:szCs w:val="20"/>
        </w:rPr>
      </w:pPr>
      <w:r w:rsidRPr="005F6B92">
        <w:rPr>
          <w:i/>
          <w:iCs/>
          <w:sz w:val="20"/>
          <w:szCs w:val="20"/>
        </w:rPr>
        <w:t>49 CFR Part 29, Executive Orders 12549, 12689, and 31 U.S.C. 6101 (Contracts over $25,000)</w:t>
      </w:r>
    </w:p>
    <w:p w14:paraId="6CCAA376" w14:textId="7399513D" w:rsidR="00A710EF" w:rsidRPr="000B6952" w:rsidRDefault="00A710EF" w:rsidP="00CD2B03">
      <w:pPr>
        <w:pStyle w:val="BodyText"/>
        <w:ind w:left="-90"/>
      </w:pPr>
    </w:p>
    <w:p w14:paraId="255275B4" w14:textId="2DA8589E" w:rsidR="00A710EF" w:rsidRPr="00B66FDA" w:rsidRDefault="00337803" w:rsidP="00B66FDA">
      <w:pPr>
        <w:pStyle w:val="BodyText"/>
        <w:spacing w:after="120"/>
        <w:ind w:left="0"/>
        <w:rPr>
          <w:sz w:val="22"/>
          <w:szCs w:val="22"/>
          <w:u w:val="single"/>
        </w:rPr>
      </w:pPr>
      <w:r w:rsidRPr="00B66FDA">
        <w:rPr>
          <w:sz w:val="22"/>
          <w:szCs w:val="22"/>
          <w:u w:val="single"/>
        </w:rPr>
        <w:t>Background and Applicability</w:t>
      </w:r>
    </w:p>
    <w:p w14:paraId="2E7BF5E1" w14:textId="0BAAE33B" w:rsidR="00337803" w:rsidRPr="0096494B" w:rsidRDefault="00337803" w:rsidP="0096494B">
      <w:pPr>
        <w:pStyle w:val="BodyText"/>
        <w:spacing w:after="120"/>
        <w:ind w:left="0"/>
        <w:rPr>
          <w:sz w:val="22"/>
          <w:szCs w:val="22"/>
        </w:rPr>
      </w:pPr>
      <w:r w:rsidRPr="0096494B">
        <w:rPr>
          <w:sz w:val="22"/>
          <w:szCs w:val="22"/>
        </w:rPr>
        <w:t>In conjunction with the Office of Management and Budget and other affected Federal agencies, DOT published an update to 49 CFR Part 29 on November 26, 2003. This government-wide regulation implements Executive Oder 12549, Debarment and Suspension, Executive Order 12689, Debarment and Suspension, and 31 U.S.C. 6101 note (Section 2455, Public Law 103-355, 108 Stat. 3327).</w:t>
      </w:r>
    </w:p>
    <w:p w14:paraId="2FDACD1F" w14:textId="65515F41" w:rsidR="00337803" w:rsidRPr="0096494B" w:rsidRDefault="001D10CB" w:rsidP="0096494B">
      <w:pPr>
        <w:pStyle w:val="BodyText"/>
        <w:spacing w:after="120"/>
        <w:ind w:left="0"/>
        <w:rPr>
          <w:sz w:val="22"/>
          <w:szCs w:val="22"/>
        </w:rPr>
      </w:pPr>
      <w:r w:rsidRPr="0096494B">
        <w:rPr>
          <w:sz w:val="22"/>
          <w:szCs w:val="22"/>
        </w:rPr>
        <w:t>The provisions of Part 29 apply to all grantee contracts and subcontracts at any level expected to equal or exceed $25,000 as well as any contract or subcontract (at any level) for Federally required auditing services. 49 CFR 29.220(b). This represents a change from prior practice in that the dollar threshold for application of these rules has been lowered from $100,000 to $25,000. These are contracts and subcontracts referred to in the regulation as “covered transactions.”</w:t>
      </w:r>
    </w:p>
    <w:p w14:paraId="087573AF" w14:textId="7F3D31B6" w:rsidR="001D10CB" w:rsidRPr="0096494B" w:rsidRDefault="001D10CB" w:rsidP="0096494B">
      <w:pPr>
        <w:pStyle w:val="BodyText"/>
        <w:spacing w:after="120"/>
        <w:ind w:left="0"/>
        <w:rPr>
          <w:sz w:val="22"/>
          <w:szCs w:val="22"/>
        </w:rPr>
      </w:pPr>
      <w:r w:rsidRPr="0096494B">
        <w:rPr>
          <w:sz w:val="22"/>
          <w:szCs w:val="22"/>
        </w:rPr>
        <w:t xml:space="preserve">Grantees, contractors, and subcontractors (at any level) that </w:t>
      </w:r>
      <w:proofErr w:type="gramStart"/>
      <w:r w:rsidRPr="0096494B">
        <w:rPr>
          <w:sz w:val="22"/>
          <w:szCs w:val="22"/>
        </w:rPr>
        <w:t>enter into</w:t>
      </w:r>
      <w:proofErr w:type="gramEnd"/>
      <w:r w:rsidRPr="0096494B">
        <w:rPr>
          <w:sz w:val="22"/>
          <w:szCs w:val="22"/>
        </w:rPr>
        <w:t xml:space="preserve"> covered transactions are required to verify that the entity (as well as its principals and affiliates) they propose to contract or subcontract with is not excluded or disqualified. </w:t>
      </w:r>
      <w:r w:rsidR="008B0EB9" w:rsidRPr="0096494B">
        <w:rPr>
          <w:sz w:val="22"/>
          <w:szCs w:val="22"/>
        </w:rPr>
        <w:t>They do this by (a) Checking the Excluded Parties List System, (b) Collecting a certification from that person, or (c) Adding a clause or condition to the contract or subcontract. This represents a change from the prior practice in that certification is still acceptable but is no longer required. 49 CFR 29.300.</w:t>
      </w:r>
    </w:p>
    <w:p w14:paraId="30B3D607" w14:textId="7186BD70" w:rsidR="008B0EB9" w:rsidRPr="0096494B" w:rsidRDefault="008B0EB9" w:rsidP="0096494B">
      <w:pPr>
        <w:pStyle w:val="BodyText"/>
        <w:spacing w:after="120"/>
        <w:ind w:left="0"/>
        <w:rPr>
          <w:sz w:val="22"/>
          <w:szCs w:val="22"/>
        </w:rPr>
      </w:pPr>
      <w:r w:rsidRPr="0096494B">
        <w:rPr>
          <w:sz w:val="22"/>
          <w:szCs w:val="22"/>
        </w:rPr>
        <w:t xml:space="preserve">Grantees, contractors, and subcontractors who </w:t>
      </w:r>
      <w:proofErr w:type="gramStart"/>
      <w:r w:rsidRPr="0096494B">
        <w:rPr>
          <w:sz w:val="22"/>
          <w:szCs w:val="22"/>
        </w:rPr>
        <w:t>enter into</w:t>
      </w:r>
      <w:proofErr w:type="gramEnd"/>
      <w:r w:rsidRPr="0096494B">
        <w:rPr>
          <w:sz w:val="22"/>
          <w:szCs w:val="22"/>
        </w:rPr>
        <w:t xml:space="preserve"> covered transactions also must require the entities they contract with to comply with 49 CFR 29, subpart C and include this requirement in their own subsequent covered transactions (i.e., the requirement flows down to subcontracts at all levels).</w:t>
      </w:r>
    </w:p>
    <w:p w14:paraId="61B997E0" w14:textId="43A7C82A" w:rsidR="008B0EB9" w:rsidRPr="002310B5" w:rsidRDefault="008B0EB9" w:rsidP="002310B5">
      <w:pPr>
        <w:pStyle w:val="BodyText"/>
        <w:spacing w:after="120"/>
        <w:ind w:left="0"/>
        <w:rPr>
          <w:sz w:val="22"/>
          <w:szCs w:val="22"/>
        </w:rPr>
      </w:pPr>
      <w:r w:rsidRPr="002310B5">
        <w:rPr>
          <w:sz w:val="22"/>
          <w:szCs w:val="22"/>
          <w:u w:val="single"/>
        </w:rPr>
        <w:t xml:space="preserve">Instructions for Certification: </w:t>
      </w:r>
      <w:r w:rsidRPr="002310B5">
        <w:rPr>
          <w:sz w:val="22"/>
          <w:szCs w:val="22"/>
        </w:rPr>
        <w:t>By signing and submitting this bid or proposal, the prospective lower tier participant is providing the signed certification set out below.</w:t>
      </w:r>
    </w:p>
    <w:p w14:paraId="6E030DF5" w14:textId="6217F1F9" w:rsidR="008B0EB9" w:rsidRPr="002E4C55" w:rsidRDefault="008B0EB9" w:rsidP="00CD2B03">
      <w:pPr>
        <w:pStyle w:val="BodyText"/>
        <w:ind w:left="-90"/>
        <w:rPr>
          <w:sz w:val="22"/>
          <w:szCs w:val="22"/>
          <w:u w:val="single"/>
        </w:rPr>
      </w:pPr>
      <w:r w:rsidRPr="002E4C55">
        <w:rPr>
          <w:sz w:val="22"/>
          <w:szCs w:val="22"/>
          <w:u w:val="single"/>
        </w:rPr>
        <w:t>Suspension and Debarment</w:t>
      </w:r>
    </w:p>
    <w:p w14:paraId="4BAACC47" w14:textId="2BCC0D68" w:rsidR="008B0EB9" w:rsidRPr="00590E73" w:rsidRDefault="00D105E1" w:rsidP="00844667">
      <w:pPr>
        <w:pStyle w:val="BodyText"/>
        <w:spacing w:after="120"/>
        <w:ind w:left="0"/>
        <w:rPr>
          <w:sz w:val="22"/>
          <w:szCs w:val="22"/>
        </w:rPr>
      </w:pPr>
      <w:r w:rsidRPr="00590E73">
        <w:rPr>
          <w:sz w:val="22"/>
          <w:szCs w:val="22"/>
        </w:rPr>
        <w:t xml:space="preserve">This contract is a covered transaction for the purposes of 49 CFR Part 29. As such, the contractor is required to verify that none of the contractor, its principals, as defined at 49 CFR 29.995, or affiliates, as defined at 49 CFR 29.905, are excluded or disqualified as </w:t>
      </w:r>
      <w:proofErr w:type="gramStart"/>
      <w:r w:rsidRPr="00590E73">
        <w:rPr>
          <w:sz w:val="22"/>
          <w:szCs w:val="22"/>
        </w:rPr>
        <w:t>define</w:t>
      </w:r>
      <w:proofErr w:type="gramEnd"/>
      <w:r w:rsidRPr="00590E73">
        <w:rPr>
          <w:sz w:val="22"/>
          <w:szCs w:val="22"/>
        </w:rPr>
        <w:t xml:space="preserve"> at 49 CFR 29.940 and 29.945.</w:t>
      </w:r>
    </w:p>
    <w:p w14:paraId="3D4946BF" w14:textId="37AB56E5" w:rsidR="00D105E1" w:rsidRPr="00590E73" w:rsidRDefault="00D105E1" w:rsidP="00844667">
      <w:pPr>
        <w:pStyle w:val="BodyText"/>
        <w:spacing w:after="120"/>
        <w:ind w:left="0"/>
        <w:rPr>
          <w:sz w:val="22"/>
          <w:szCs w:val="22"/>
        </w:rPr>
      </w:pPr>
      <w:r w:rsidRPr="00590E73">
        <w:rPr>
          <w:sz w:val="22"/>
          <w:szCs w:val="22"/>
        </w:rPr>
        <w:t xml:space="preserve">The contractor is required to comply with 49 CFR 29, Subpart C and must include the requirements to comply with 49 CFR 29, Subpart C in any lower tier covered transaction it </w:t>
      </w:r>
      <w:proofErr w:type="gramStart"/>
      <w:r w:rsidRPr="00590E73">
        <w:rPr>
          <w:sz w:val="22"/>
          <w:szCs w:val="22"/>
        </w:rPr>
        <w:t>enters into</w:t>
      </w:r>
      <w:proofErr w:type="gramEnd"/>
      <w:r w:rsidRPr="00590E73">
        <w:rPr>
          <w:sz w:val="22"/>
          <w:szCs w:val="22"/>
        </w:rPr>
        <w:t>. By signing and submitting its bid or proposal, the bidder or proposer certifies as follows:</w:t>
      </w:r>
    </w:p>
    <w:p w14:paraId="6FE71F19" w14:textId="511F8B6B" w:rsidR="00D105E1" w:rsidRPr="00590E73" w:rsidRDefault="00D105E1" w:rsidP="00844667">
      <w:pPr>
        <w:pStyle w:val="BodyText"/>
        <w:spacing w:after="120"/>
        <w:ind w:left="0"/>
        <w:rPr>
          <w:sz w:val="22"/>
          <w:szCs w:val="22"/>
        </w:rPr>
      </w:pPr>
      <w:r w:rsidRPr="00590E73">
        <w:rPr>
          <w:sz w:val="22"/>
          <w:szCs w:val="22"/>
        </w:rPr>
        <w:t xml:space="preserve">The certification in this clause is a material representation of fact relied upon by the recipient. If it is later determined that the bidder or proposer knowingly rendered an erroneous certification, in addition to the recipient, the Federal Government </w:t>
      </w:r>
      <w:r w:rsidR="000B6952" w:rsidRPr="00590E73">
        <w:rPr>
          <w:sz w:val="22"/>
          <w:szCs w:val="22"/>
        </w:rPr>
        <w:t xml:space="preserve">may pursue available remedies, including but not limited to suspension and/or debarment. The bidder or proposer agrees to comply with the requirements of 49 CFR 29, Subpart </w:t>
      </w:r>
      <w:proofErr w:type="gramStart"/>
      <w:r w:rsidR="000B6952" w:rsidRPr="00590E73">
        <w:rPr>
          <w:sz w:val="22"/>
          <w:szCs w:val="22"/>
        </w:rPr>
        <w:t>C while</w:t>
      </w:r>
      <w:proofErr w:type="gramEnd"/>
      <w:r w:rsidR="000B6952" w:rsidRPr="00590E73">
        <w:rPr>
          <w:sz w:val="22"/>
          <w:szCs w:val="22"/>
        </w:rPr>
        <w:t xml:space="preserve"> this offer is valid and throughout the period of any contract that may arise from this offer. The bidder or proposer further agrees to include a provision requiring such compliance in its </w:t>
      </w:r>
      <w:proofErr w:type="gramStart"/>
      <w:r w:rsidR="000B6952" w:rsidRPr="00590E73">
        <w:rPr>
          <w:sz w:val="22"/>
          <w:szCs w:val="22"/>
        </w:rPr>
        <w:t>lower tier covered</w:t>
      </w:r>
      <w:proofErr w:type="gramEnd"/>
      <w:r w:rsidR="000B6952" w:rsidRPr="00590E73">
        <w:rPr>
          <w:sz w:val="22"/>
          <w:szCs w:val="22"/>
        </w:rPr>
        <w:t xml:space="preserve"> transactions.</w:t>
      </w:r>
    </w:p>
    <w:p w14:paraId="607F3554" w14:textId="0B2DB6FA" w:rsidR="000B6952" w:rsidRDefault="000B6952" w:rsidP="00CD2B03">
      <w:pPr>
        <w:pStyle w:val="BodyText"/>
        <w:ind w:left="-90"/>
      </w:pPr>
    </w:p>
    <w:p w14:paraId="73D15807" w14:textId="2C2082C5" w:rsidR="000B6952" w:rsidRDefault="000B6952" w:rsidP="00CD2B03">
      <w:pPr>
        <w:pStyle w:val="BodyText"/>
        <w:ind w:left="-90"/>
      </w:pPr>
      <w:r w:rsidRPr="00B13587">
        <w:rPr>
          <w:b/>
          <w:bCs/>
          <w:sz w:val="22"/>
          <w:szCs w:val="22"/>
        </w:rPr>
        <w:t>Contractor</w:t>
      </w:r>
      <w:r>
        <w:t xml:space="preserve"> ____________________________________________________________________________</w:t>
      </w:r>
    </w:p>
    <w:p w14:paraId="6C565610" w14:textId="47308B5D" w:rsidR="000B6952" w:rsidRDefault="000B6952" w:rsidP="00CD2B03">
      <w:pPr>
        <w:pStyle w:val="BodyText"/>
        <w:ind w:left="-90"/>
      </w:pPr>
    </w:p>
    <w:p w14:paraId="2C5F5537" w14:textId="5095A0D1" w:rsidR="000B6952" w:rsidRDefault="000B6952" w:rsidP="00CD2B03">
      <w:pPr>
        <w:pStyle w:val="BodyText"/>
        <w:ind w:left="-90"/>
      </w:pPr>
      <w:r w:rsidRPr="00B13587">
        <w:rPr>
          <w:b/>
          <w:bCs/>
          <w:sz w:val="22"/>
          <w:szCs w:val="22"/>
        </w:rPr>
        <w:t>Signature of Authorized Official</w:t>
      </w:r>
      <w:r>
        <w:t xml:space="preserve"> ______________</w:t>
      </w:r>
      <w:proofErr w:type="gramStart"/>
      <w:r>
        <w:t>_</w:t>
      </w:r>
      <w:r w:rsidR="00FC5D3F">
        <w:t xml:space="preserve">  </w:t>
      </w:r>
      <w:r>
        <w:t>_</w:t>
      </w:r>
      <w:proofErr w:type="gramEnd"/>
      <w:r>
        <w:t>________________</w:t>
      </w:r>
      <w:proofErr w:type="gramStart"/>
      <w:r w:rsidR="009C3278">
        <w:t xml:space="preserve"> </w:t>
      </w:r>
      <w:r>
        <w:t xml:space="preserve">__________ </w:t>
      </w:r>
      <w:r w:rsidRPr="00B13587">
        <w:rPr>
          <w:b/>
          <w:bCs/>
          <w:sz w:val="22"/>
          <w:szCs w:val="22"/>
        </w:rPr>
        <w:t>Date</w:t>
      </w:r>
      <w:r>
        <w:t xml:space="preserve"> ___/_</w:t>
      </w:r>
      <w:proofErr w:type="gramEnd"/>
      <w:r>
        <w:t>__/____</w:t>
      </w:r>
    </w:p>
    <w:p w14:paraId="43D981DA" w14:textId="0A5756B9" w:rsidR="000B6952" w:rsidRDefault="000B6952" w:rsidP="00CD2B03">
      <w:pPr>
        <w:pStyle w:val="BodyText"/>
        <w:ind w:left="-90"/>
      </w:pPr>
    </w:p>
    <w:p w14:paraId="7B09AFD5" w14:textId="3000F6DF" w:rsidR="0047478A" w:rsidRDefault="000B6952" w:rsidP="00CD2B03">
      <w:pPr>
        <w:pStyle w:val="BodyText"/>
        <w:ind w:left="-90"/>
      </w:pPr>
      <w:r w:rsidRPr="00B13587">
        <w:rPr>
          <w:b/>
          <w:bCs/>
          <w:sz w:val="22"/>
          <w:szCs w:val="22"/>
        </w:rPr>
        <w:t>Name &amp; Title of Contractor’s Authorized Official</w:t>
      </w:r>
      <w:proofErr w:type="gramStart"/>
      <w:r>
        <w:t>________________________</w:t>
      </w:r>
      <w:r w:rsidR="009C3278">
        <w:t xml:space="preserve">    </w:t>
      </w:r>
      <w:proofErr w:type="gramEnd"/>
      <w:r>
        <w:t>______________________</w:t>
      </w:r>
    </w:p>
    <w:p w14:paraId="381CC5A3" w14:textId="0851BDBA" w:rsidR="00590E73" w:rsidRDefault="00590E73">
      <w:pPr>
        <w:spacing w:after="120" w:line="264" w:lineRule="auto"/>
        <w:ind w:left="0"/>
        <w:rPr>
          <w:rFonts w:ascii="Calibri" w:eastAsia="Times New Roman" w:hAnsi="Calibri" w:cs="Times New Roman"/>
          <w:lang w:bidi="en-US"/>
        </w:rPr>
      </w:pPr>
      <w:r>
        <w:br w:type="page"/>
      </w:r>
    </w:p>
    <w:p w14:paraId="4E79B8E8" w14:textId="77777777" w:rsidR="009B40E9" w:rsidRDefault="009B40E9" w:rsidP="00CD2B03">
      <w:pPr>
        <w:pStyle w:val="BodyText"/>
        <w:ind w:left="-90"/>
      </w:pPr>
    </w:p>
    <w:p w14:paraId="24F3A05D" w14:textId="7D688DC3" w:rsidR="0047478A" w:rsidRPr="00D53081" w:rsidRDefault="0047478A" w:rsidP="00D53081">
      <w:pPr>
        <w:pStyle w:val="BodyText"/>
        <w:ind w:left="-90"/>
        <w:jc w:val="center"/>
        <w:rPr>
          <w:b/>
          <w:bCs/>
          <w:u w:val="single"/>
        </w:rPr>
      </w:pPr>
      <w:r w:rsidRPr="00D53081">
        <w:rPr>
          <w:b/>
          <w:bCs/>
          <w:u w:val="single"/>
        </w:rPr>
        <w:t>Certification of Restriction on Lobbying</w:t>
      </w:r>
    </w:p>
    <w:p w14:paraId="298F5645" w14:textId="09A6EE32" w:rsidR="000D0E63" w:rsidRDefault="000D0E63" w:rsidP="00CD2B03">
      <w:pPr>
        <w:pStyle w:val="BodyText"/>
        <w:ind w:left="-90"/>
      </w:pPr>
    </w:p>
    <w:p w14:paraId="245883D7" w14:textId="3DF0C1BC" w:rsidR="0047478A" w:rsidRDefault="00243B83" w:rsidP="00CD2B03">
      <w:pPr>
        <w:pStyle w:val="BodyText"/>
        <w:ind w:left="-90"/>
      </w:pPr>
      <w:r w:rsidRPr="003C3E26">
        <w:rPr>
          <w:noProof/>
        </w:rPr>
        <mc:AlternateContent>
          <mc:Choice Requires="wps">
            <w:drawing>
              <wp:anchor distT="0" distB="0" distL="114300" distR="114300" simplePos="0" relativeHeight="251658240" behindDoc="0" locked="0" layoutInCell="1" allowOverlap="1" wp14:anchorId="37FCB218" wp14:editId="61A1D094">
                <wp:simplePos x="0" y="0"/>
                <wp:positionH relativeFrom="column">
                  <wp:posOffset>61595</wp:posOffset>
                </wp:positionH>
                <wp:positionV relativeFrom="paragraph">
                  <wp:posOffset>236220</wp:posOffset>
                </wp:positionV>
                <wp:extent cx="2168525" cy="266700"/>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2168525" cy="266700"/>
                        </a:xfrm>
                        <a:prstGeom prst="rect">
                          <a:avLst/>
                        </a:prstGeom>
                        <a:noFill/>
                        <a:ln w="6350">
                          <a:noFill/>
                        </a:ln>
                      </wps:spPr>
                      <wps:txbx>
                        <w:txbxContent>
                          <w:p w14:paraId="7895D2D5" w14:textId="7506C5A2" w:rsidR="009D4AC5" w:rsidRPr="00243B83" w:rsidRDefault="009D4AC5" w:rsidP="00CD7625">
                            <w:pPr>
                              <w:pStyle w:val="BodyText"/>
                              <w:ind w:left="0"/>
                              <w:rPr>
                                <w:sz w:val="22"/>
                                <w:szCs w:val="22"/>
                              </w:rPr>
                            </w:pPr>
                            <w:r w:rsidRPr="006F2EDD">
                              <w:rPr>
                                <w:sz w:val="22"/>
                                <w:szCs w:val="22"/>
                              </w:rPr>
                              <w:t xml:space="preserve">(Name &amp; </w:t>
                            </w:r>
                            <w:r w:rsidRPr="00243B83">
                              <w:rPr>
                                <w:sz w:val="22"/>
                                <w:szCs w:val="22"/>
                              </w:rPr>
                              <w:t>Title of grantee 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CB218" id="_x0000_t202" coordsize="21600,21600" o:spt="202" path="m,l,21600r21600,l21600,xe">
                <v:stroke joinstyle="miter"/>
                <v:path gradientshapeok="t" o:connecttype="rect"/>
              </v:shapetype>
              <v:shape id="Text Box 2" o:spid="_x0000_s1026" type="#_x0000_t202" style="position:absolute;left:0;text-align:left;margin-left:4.85pt;margin-top:18.6pt;width:170.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" filled="f" stroked="f" strokeweight=".5pt">
                <v:textbox>
                  <w:txbxContent>
                    <w:p w14:paraId="7895D2D5" w14:textId="7506C5A2" w:rsidR="009D4AC5" w:rsidRPr="00243B83" w:rsidRDefault="009D4AC5" w:rsidP="00CD7625">
                      <w:pPr>
                        <w:pStyle w:val="BodyText"/>
                        <w:ind w:left="0"/>
                        <w:rPr>
                          <w:sz w:val="22"/>
                          <w:szCs w:val="22"/>
                        </w:rPr>
                      </w:pPr>
                      <w:r w:rsidRPr="006F2EDD">
                        <w:rPr>
                          <w:sz w:val="22"/>
                          <w:szCs w:val="22"/>
                        </w:rPr>
                        <w:t xml:space="preserve">(Name &amp; </w:t>
                      </w:r>
                      <w:r w:rsidRPr="00243B83">
                        <w:rPr>
                          <w:sz w:val="22"/>
                          <w:szCs w:val="22"/>
                        </w:rPr>
                        <w:t>Title of grantee official)</w:t>
                      </w:r>
                    </w:p>
                  </w:txbxContent>
                </v:textbox>
                <w10:wrap type="topAndBottom"/>
              </v:shape>
            </w:pict>
          </mc:Fallback>
        </mc:AlternateContent>
      </w:r>
      <w:r w:rsidRPr="003C3E26">
        <w:rPr>
          <w:noProof/>
        </w:rPr>
        <mc:AlternateContent>
          <mc:Choice Requires="wps">
            <w:drawing>
              <wp:anchor distT="0" distB="0" distL="114300" distR="114300" simplePos="0" relativeHeight="251658241" behindDoc="0" locked="0" layoutInCell="1" allowOverlap="1" wp14:anchorId="3446DBC6" wp14:editId="4DA7E617">
                <wp:simplePos x="0" y="0"/>
                <wp:positionH relativeFrom="column">
                  <wp:posOffset>4335780</wp:posOffset>
                </wp:positionH>
                <wp:positionV relativeFrom="paragraph">
                  <wp:posOffset>236220</wp:posOffset>
                </wp:positionV>
                <wp:extent cx="1403350" cy="266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03350" cy="266700"/>
                        </a:xfrm>
                        <a:prstGeom prst="rect">
                          <a:avLst/>
                        </a:prstGeom>
                        <a:noFill/>
                        <a:ln w="6350">
                          <a:noFill/>
                        </a:ln>
                      </wps:spPr>
                      <wps:txbx>
                        <w:txbxContent>
                          <w:p w14:paraId="0C442E62" w14:textId="1C22413F" w:rsidR="009D4AC5" w:rsidRPr="006F2EDD" w:rsidRDefault="009D4AC5" w:rsidP="00CD7625">
                            <w:pPr>
                              <w:pStyle w:val="BodyText"/>
                              <w:ind w:left="90"/>
                              <w:rPr>
                                <w:sz w:val="22"/>
                                <w:szCs w:val="22"/>
                              </w:rPr>
                            </w:pPr>
                            <w:r w:rsidRPr="006F2EDD">
                              <w:rPr>
                                <w:sz w:val="22"/>
                                <w:szCs w:val="22"/>
                              </w:rPr>
                              <w:t>(Name of grantee)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46DBC6" id="Text Box 3" o:spid="_x0000_s1027" type="#_x0000_t202" style="position:absolute;left:0;text-align:left;margin-left:341.4pt;margin-top:18.6pt;width:110.5pt;height:2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" filled="f" stroked="f" strokeweight=".5pt">
                <v:textbox>
                  <w:txbxContent>
                    <w:p w14:paraId="0C442E62" w14:textId="1C22413F" w:rsidR="009D4AC5" w:rsidRPr="006F2EDD" w:rsidRDefault="009D4AC5" w:rsidP="00CD7625">
                      <w:pPr>
                        <w:pStyle w:val="BodyText"/>
                        <w:ind w:left="90"/>
                        <w:rPr>
                          <w:sz w:val="22"/>
                          <w:szCs w:val="22"/>
                        </w:rPr>
                      </w:pPr>
                      <w:r w:rsidRPr="006F2EDD">
                        <w:rPr>
                          <w:sz w:val="22"/>
                          <w:szCs w:val="22"/>
                        </w:rPr>
                        <w:t>(Name of grantee)</w:t>
                      </w:r>
                    </w:p>
                  </w:txbxContent>
                </v:textbox>
              </v:shape>
            </w:pict>
          </mc:Fallback>
        </mc:AlternateContent>
      </w:r>
      <w:r w:rsidR="00FB3EB6" w:rsidRPr="003C3E26">
        <w:t xml:space="preserve">I </w:t>
      </w:r>
      <w:r w:rsidR="00FB3EB6">
        <w:t xml:space="preserve">_____________________________, </w:t>
      </w:r>
      <w:r w:rsidR="00FB3EB6" w:rsidRPr="003C3E26">
        <w:t>hereby certify on behalf of</w:t>
      </w:r>
      <w:r w:rsidR="00FB3EB6">
        <w:t>____________________________</w:t>
      </w:r>
      <w:proofErr w:type="gramStart"/>
      <w:r w:rsidR="00FB3EB6">
        <w:t xml:space="preserve">_ </w:t>
      </w:r>
      <w:r w:rsidR="00750DF6">
        <w:t xml:space="preserve"> </w:t>
      </w:r>
      <w:r w:rsidR="00FB3EB6" w:rsidRPr="003C3E26">
        <w:t>that</w:t>
      </w:r>
      <w:proofErr w:type="gramEnd"/>
      <w:r w:rsidR="00FB3EB6" w:rsidRPr="003C3E26">
        <w:t>:</w:t>
      </w:r>
    </w:p>
    <w:p w14:paraId="37C36E74" w14:textId="37960078" w:rsidR="00FB3EB6" w:rsidRDefault="00FB3EB6" w:rsidP="00CD2B03">
      <w:pPr>
        <w:pStyle w:val="BodyText"/>
        <w:ind w:left="-90"/>
      </w:pPr>
    </w:p>
    <w:p w14:paraId="3A7DEB44" w14:textId="60FCEB9B" w:rsidR="00FB3EB6" w:rsidRPr="003C3E26" w:rsidRDefault="00FB3EB6" w:rsidP="0015285B">
      <w:pPr>
        <w:pStyle w:val="BodyText"/>
        <w:numPr>
          <w:ilvl w:val="0"/>
          <w:numId w:val="8"/>
        </w:numPr>
        <w:spacing w:after="80"/>
        <w:ind w:left="360"/>
      </w:pPr>
      <w:r w:rsidRPr="003C3E26">
        <w:t xml:space="preserve">No federal appropriated </w:t>
      </w:r>
      <w:r w:rsidR="000D0E63" w:rsidRPr="003C3E26">
        <w:t>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any cooperative agreement, and the extension, continuation, renewal, amendment, or modification of any Federal contract, grant, loan, or cooperative agreement.</w:t>
      </w:r>
    </w:p>
    <w:p w14:paraId="61E789C6" w14:textId="65C635FD" w:rsidR="000D0E63" w:rsidRPr="003C3E26" w:rsidRDefault="000D0E63" w:rsidP="0015285B">
      <w:pPr>
        <w:pStyle w:val="BodyText"/>
        <w:numPr>
          <w:ilvl w:val="0"/>
          <w:numId w:val="8"/>
        </w:numPr>
        <w:spacing w:after="80"/>
        <w:ind w:left="360"/>
      </w:pPr>
      <w:r w:rsidRPr="003C3E26">
        <w:t xml:space="preserve">If any funds other than Federal </w:t>
      </w:r>
      <w:r w:rsidR="009407D4" w:rsidRPr="003C3E26">
        <w:t>appropriated funds have been paid or will be paid to any person for influencing or attempting to influence an officer or employee of any agency, a Member of Congress, an officer or employee of Congress, or an employee of the Member of Congress in connection with this Federal contract, grant, loan, or cooperative agreement, the undersigned shall complete and submit Standard Form-LLL, “Disclosure Form to Report Lobbying” in accordance with its instructions.</w:t>
      </w:r>
    </w:p>
    <w:p w14:paraId="00122905" w14:textId="086058B4" w:rsidR="009407D4" w:rsidRPr="003C3E26" w:rsidRDefault="009407D4" w:rsidP="0015285B">
      <w:pPr>
        <w:pStyle w:val="BodyText"/>
        <w:numPr>
          <w:ilvl w:val="0"/>
          <w:numId w:val="8"/>
        </w:numPr>
        <w:spacing w:after="80"/>
        <w:ind w:left="360"/>
      </w:pPr>
      <w:r w:rsidRPr="003C3E26">
        <w:t>The undersigned shall require that the language of this certification be included in the award documents for all subawards at all tiers (including sub-contracts, sub-grants, and contracts under grants, loans, and cooperative agreements) and all sub-recipients shall certify and disclose accordingly.</w:t>
      </w:r>
    </w:p>
    <w:p w14:paraId="7337A35D" w14:textId="4A228E46" w:rsidR="009407D4" w:rsidRDefault="009407D4" w:rsidP="0015285B">
      <w:pPr>
        <w:pStyle w:val="BodyText"/>
        <w:spacing w:after="80"/>
        <w:ind w:left="0"/>
      </w:pPr>
      <w:r w:rsidRPr="003C3E26">
        <w:t>This certification is a material representation of fact upon which reliance is placed when this transaction was made or enter</w:t>
      </w:r>
      <w:r w:rsidR="003C3E26" w:rsidRPr="003C3E26">
        <w:t xml:space="preserve">ed into. Submission of this certification is a prerequisite for making or </w:t>
      </w:r>
      <w:proofErr w:type="gramStart"/>
      <w:r w:rsidR="003C3E26" w:rsidRPr="003C3E26">
        <w:t>entering into</w:t>
      </w:r>
      <w:proofErr w:type="gramEnd"/>
      <w:r w:rsidR="003C3E26" w:rsidRPr="003C3E26">
        <w:t xml:space="preserve"> this transaction imposed by section 1352, title 31, US Code. Any person who fails to file the required certification shall be subject to civil penalty of not less than $10,000 and not more than $100,000 for each such failure.</w:t>
      </w:r>
    </w:p>
    <w:p w14:paraId="55675144" w14:textId="77777777" w:rsidR="00852B9F" w:rsidRPr="003C3E26" w:rsidRDefault="00852B9F" w:rsidP="00852B9F">
      <w:pPr>
        <w:pStyle w:val="BodyText"/>
        <w:ind w:left="0"/>
      </w:pPr>
    </w:p>
    <w:p w14:paraId="77AEBAE2" w14:textId="476E7C9D" w:rsidR="003C3E26" w:rsidRDefault="003C3E26" w:rsidP="0015285B">
      <w:pPr>
        <w:pStyle w:val="BodyText"/>
        <w:ind w:left="0"/>
      </w:pPr>
      <w:r>
        <w:t xml:space="preserve">Executed this _____ day of </w:t>
      </w:r>
      <w:proofErr w:type="gramStart"/>
      <w:r>
        <w:t xml:space="preserve">______________, </w:t>
      </w:r>
      <w:proofErr w:type="gramEnd"/>
      <w:r>
        <w:t>______</w:t>
      </w:r>
    </w:p>
    <w:p w14:paraId="74AF793C" w14:textId="52E31A0D" w:rsidR="003C3E26" w:rsidRDefault="003C3E26" w:rsidP="0015285B">
      <w:pPr>
        <w:pStyle w:val="BodyText"/>
        <w:ind w:left="0"/>
      </w:pPr>
    </w:p>
    <w:p w14:paraId="2574A8C9" w14:textId="6D6B5902" w:rsidR="003C3E26" w:rsidRDefault="00B26939" w:rsidP="005A70C1">
      <w:pPr>
        <w:pStyle w:val="BodyText"/>
        <w:ind w:left="0"/>
        <w:jc w:val="right"/>
      </w:pPr>
      <w:r>
        <w:rPr>
          <w:noProof/>
        </w:rPr>
        <mc:AlternateContent>
          <mc:Choice Requires="wps">
            <w:drawing>
              <wp:anchor distT="0" distB="0" distL="114300" distR="114300" simplePos="0" relativeHeight="251658242" behindDoc="0" locked="0" layoutInCell="1" allowOverlap="1" wp14:anchorId="4FE6160F" wp14:editId="7CC12C8C">
                <wp:simplePos x="0" y="0"/>
                <wp:positionH relativeFrom="column">
                  <wp:posOffset>3680460</wp:posOffset>
                </wp:positionH>
                <wp:positionV relativeFrom="paragraph">
                  <wp:posOffset>229058</wp:posOffset>
                </wp:positionV>
                <wp:extent cx="2560320" cy="25146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2560320" cy="251460"/>
                        </a:xfrm>
                        <a:prstGeom prst="rect">
                          <a:avLst/>
                        </a:prstGeom>
                        <a:noFill/>
                        <a:ln w="6350">
                          <a:noFill/>
                        </a:ln>
                      </wps:spPr>
                      <wps:txbx>
                        <w:txbxContent>
                          <w:p w14:paraId="2A54359F" w14:textId="5B01503D" w:rsidR="009D4AC5" w:rsidRDefault="009D4AC5" w:rsidP="005A70C1">
                            <w:pPr>
                              <w:pStyle w:val="BodyText"/>
                              <w:ind w:left="0"/>
                            </w:pPr>
                            <w:r w:rsidRPr="00B26939">
                              <w:rPr>
                                <w:sz w:val="22"/>
                                <w:szCs w:val="22"/>
                              </w:rPr>
                              <w:t>(Signature of Authorized Official</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6160F" id="Text Box 4" o:spid="_x0000_s1028" type="#_x0000_t202" style="position:absolute;left:0;text-align:left;margin-left:289.8pt;margin-top:18.05pt;width:201.6pt;height:19.8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" filled="f" stroked="f" strokeweight=".5pt">
                <v:textbox>
                  <w:txbxContent>
                    <w:p w14:paraId="2A54359F" w14:textId="5B01503D" w:rsidR="009D4AC5" w:rsidRDefault="009D4AC5" w:rsidP="005A70C1">
                      <w:pPr>
                        <w:pStyle w:val="BodyText"/>
                        <w:ind w:left="0"/>
                      </w:pPr>
                      <w:r w:rsidRPr="00B26939">
                        <w:rPr>
                          <w:sz w:val="22"/>
                          <w:szCs w:val="22"/>
                        </w:rPr>
                        <w:t>(Signature of Authorized Official</w:t>
                      </w:r>
                      <w:r>
                        <w:t>)</w:t>
                      </w:r>
                    </w:p>
                  </w:txbxContent>
                </v:textbox>
                <w10:wrap type="topAndBottom"/>
              </v:shape>
            </w:pict>
          </mc:Fallback>
        </mc:AlternateContent>
      </w:r>
      <w:r w:rsidR="003C3E26">
        <w:t>By _______________________________________</w:t>
      </w:r>
    </w:p>
    <w:p w14:paraId="010997E0" w14:textId="77777777" w:rsidR="00A514FA" w:rsidRDefault="00A514FA" w:rsidP="005A70C1">
      <w:pPr>
        <w:pStyle w:val="BodyText"/>
        <w:ind w:left="0"/>
        <w:jc w:val="right"/>
      </w:pPr>
    </w:p>
    <w:p w14:paraId="2E564067" w14:textId="32D3F3D6" w:rsidR="00A514FA" w:rsidRDefault="00A514FA" w:rsidP="005A70C1">
      <w:pPr>
        <w:pStyle w:val="BodyText"/>
        <w:ind w:left="0"/>
        <w:jc w:val="right"/>
      </w:pPr>
      <w:r>
        <w:rPr>
          <w:noProof/>
        </w:rPr>
        <mc:AlternateContent>
          <mc:Choice Requires="wps">
            <w:drawing>
              <wp:anchor distT="0" distB="0" distL="114300" distR="114300" simplePos="0" relativeHeight="251658243" behindDoc="0" locked="0" layoutInCell="1" allowOverlap="1" wp14:anchorId="026C06AE" wp14:editId="11D90193">
                <wp:simplePos x="0" y="0"/>
                <wp:positionH relativeFrom="column">
                  <wp:posOffset>3756660</wp:posOffset>
                </wp:positionH>
                <wp:positionV relativeFrom="paragraph">
                  <wp:posOffset>160020</wp:posOffset>
                </wp:positionV>
                <wp:extent cx="2537460" cy="24384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2537460" cy="243840"/>
                        </a:xfrm>
                        <a:prstGeom prst="rect">
                          <a:avLst/>
                        </a:prstGeom>
                        <a:noFill/>
                        <a:ln w="6350">
                          <a:noFill/>
                        </a:ln>
                      </wps:spPr>
                      <wps:txbx>
                        <w:txbxContent>
                          <w:p w14:paraId="5E24B591" w14:textId="764E3F01" w:rsidR="009D4AC5" w:rsidRPr="00B26939" w:rsidRDefault="009D4AC5" w:rsidP="00D41571">
                            <w:pPr>
                              <w:pStyle w:val="BodyText"/>
                              <w:ind w:left="0"/>
                              <w:rPr>
                                <w:sz w:val="22"/>
                                <w:szCs w:val="22"/>
                              </w:rPr>
                            </w:pPr>
                            <w:r w:rsidRPr="00B26939">
                              <w:rPr>
                                <w:sz w:val="22"/>
                                <w:szCs w:val="22"/>
                              </w:rPr>
                              <w:t>(Title of Authorized 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6C06AE" id="Text Box 5" o:spid="_x0000_s1029" type="#_x0000_t202" style="position:absolute;left:0;text-align:left;margin-left:295.8pt;margin-top:12.6pt;width:199.8pt;height:19.2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" filled="f" stroked="f" strokeweight=".5pt">
                <v:textbox>
                  <w:txbxContent>
                    <w:p w14:paraId="5E24B591" w14:textId="764E3F01" w:rsidR="009D4AC5" w:rsidRPr="00B26939" w:rsidRDefault="009D4AC5" w:rsidP="00D41571">
                      <w:pPr>
                        <w:pStyle w:val="BodyText"/>
                        <w:ind w:left="0"/>
                        <w:rPr>
                          <w:sz w:val="22"/>
                          <w:szCs w:val="22"/>
                        </w:rPr>
                      </w:pPr>
                      <w:r w:rsidRPr="00B26939">
                        <w:rPr>
                          <w:sz w:val="22"/>
                          <w:szCs w:val="22"/>
                        </w:rPr>
                        <w:t>(Title of Authorized Official)</w:t>
                      </w:r>
                    </w:p>
                  </w:txbxContent>
                </v:textbox>
              </v:shape>
            </w:pict>
          </mc:Fallback>
        </mc:AlternateContent>
      </w:r>
      <w:r>
        <w:t>_______________________________________</w:t>
      </w:r>
    </w:p>
    <w:p w14:paraId="083E36EE" w14:textId="72EB6607" w:rsidR="009B40E9" w:rsidRDefault="00A514FA" w:rsidP="0015285B">
      <w:pPr>
        <w:ind w:left="0"/>
      </w:pPr>
      <w:r>
        <w:br w:type="page"/>
      </w:r>
    </w:p>
    <w:p w14:paraId="316E50FA" w14:textId="77777777" w:rsidR="00E144FC" w:rsidRPr="00D41571" w:rsidRDefault="00947A21" w:rsidP="00243B83">
      <w:pPr>
        <w:ind w:left="0"/>
        <w:rPr>
          <w:b/>
          <w:bCs/>
        </w:rPr>
      </w:pPr>
      <w:r w:rsidRPr="00D41571">
        <w:rPr>
          <w:b/>
          <w:bCs/>
        </w:rPr>
        <w:lastRenderedPageBreak/>
        <w:t>Proposed Sub-Consultant Request</w:t>
      </w:r>
    </w:p>
    <w:p w14:paraId="73C532A5" w14:textId="77777777" w:rsidR="00B43B19" w:rsidRDefault="00E144FC" w:rsidP="00243B83">
      <w:pPr>
        <w:ind w:left="0"/>
      </w:pPr>
      <w:r>
        <w:t>North Dakota</w:t>
      </w:r>
      <w:r w:rsidR="00D731E5">
        <w:t xml:space="preserve"> Department of Transportation, Environmental &amp; Transportation Services</w:t>
      </w:r>
    </w:p>
    <w:p w14:paraId="060301F7" w14:textId="77777777" w:rsidR="00232183" w:rsidRDefault="00B43B19" w:rsidP="00243B83">
      <w:pPr>
        <w:ind w:left="0"/>
      </w:pPr>
      <w:r>
        <w:t>SFN 60232 (9-2016)</w:t>
      </w:r>
    </w:p>
    <w:p w14:paraId="0F52654E" w14:textId="77777777" w:rsidR="00232183" w:rsidRDefault="00232183" w:rsidP="00243B83">
      <w:pPr>
        <w:ind w:left="0"/>
      </w:pPr>
    </w:p>
    <w:p w14:paraId="0DE6E0C0" w14:textId="77777777" w:rsidR="001249D9" w:rsidRPr="00FD0C1A" w:rsidRDefault="00232183" w:rsidP="00243B83">
      <w:pPr>
        <w:ind w:left="0"/>
        <w:rPr>
          <w:sz w:val="22"/>
          <w:szCs w:val="22"/>
        </w:rPr>
      </w:pPr>
      <w:r w:rsidRPr="00FD0C1A">
        <w:rPr>
          <w:sz w:val="22"/>
          <w:szCs w:val="22"/>
        </w:rPr>
        <w:t>Sub-Consultant firm</w:t>
      </w:r>
      <w:r w:rsidR="009B3DDB" w:rsidRPr="00FD0C1A">
        <w:rPr>
          <w:sz w:val="22"/>
          <w:szCs w:val="22"/>
        </w:rPr>
        <w:t>s that have been contacted and agree to the listed</w:t>
      </w:r>
      <w:r w:rsidR="006F1FDA" w:rsidRPr="00FD0C1A">
        <w:rPr>
          <w:sz w:val="22"/>
          <w:szCs w:val="22"/>
        </w:rPr>
        <w:t xml:space="preserve"> on a Prime Consultants Project Proposal for work </w:t>
      </w:r>
      <w:r w:rsidR="004C51A6" w:rsidRPr="00FD0C1A">
        <w:rPr>
          <w:sz w:val="22"/>
          <w:szCs w:val="22"/>
        </w:rPr>
        <w:t xml:space="preserve">with NDDOT must submit original form and </w:t>
      </w:r>
      <w:r w:rsidR="0074485D" w:rsidRPr="00FD0C1A">
        <w:rPr>
          <w:sz w:val="22"/>
          <w:szCs w:val="22"/>
        </w:rPr>
        <w:t xml:space="preserve">one copy to be attached to the Prime Consultants Proposal. This form is used for informational </w:t>
      </w:r>
      <w:r w:rsidR="002D3080" w:rsidRPr="00FD0C1A">
        <w:rPr>
          <w:sz w:val="22"/>
          <w:szCs w:val="22"/>
        </w:rPr>
        <w:t>purposes only.</w:t>
      </w:r>
    </w:p>
    <w:tbl>
      <w:tblPr>
        <w:tblW w:w="10571" w:type="dxa"/>
        <w:tblLook w:val="04A0" w:firstRow="1" w:lastRow="0" w:firstColumn="1" w:lastColumn="0" w:noHBand="0" w:noVBand="1"/>
        <w:tblCaption w:val="NDDOT Subconsultant Contact information"/>
        <w:tblDescription w:val="Various cells for entering contact information for the prime and subconsultant"/>
      </w:tblPr>
      <w:tblGrid>
        <w:gridCol w:w="3505"/>
        <w:gridCol w:w="1351"/>
        <w:gridCol w:w="954"/>
        <w:gridCol w:w="790"/>
        <w:gridCol w:w="1091"/>
        <w:gridCol w:w="990"/>
        <w:gridCol w:w="1844"/>
        <w:gridCol w:w="38"/>
        <w:gridCol w:w="8"/>
      </w:tblGrid>
      <w:tr w:rsidR="005A7816" w:rsidRPr="005A7816" w14:paraId="1693530E" w14:textId="77777777" w:rsidTr="008C0056">
        <w:trPr>
          <w:gridAfter w:val="1"/>
          <w:wAfter w:w="8" w:type="dxa"/>
          <w:trHeight w:val="269"/>
        </w:trPr>
        <w:tc>
          <w:tcPr>
            <w:tcW w:w="3505" w:type="dxa"/>
            <w:tcBorders>
              <w:top w:val="single" w:sz="4" w:space="0" w:color="auto"/>
              <w:left w:val="single" w:sz="4" w:space="0" w:color="auto"/>
              <w:bottom w:val="nil"/>
              <w:right w:val="single" w:sz="4" w:space="0" w:color="auto"/>
            </w:tcBorders>
            <w:shd w:val="clear" w:color="000000" w:fill="FFFFFF"/>
            <w:noWrap/>
            <w:vAlign w:val="bottom"/>
            <w:hideMark/>
          </w:tcPr>
          <w:p w14:paraId="29EB3D9D" w14:textId="77777777" w:rsidR="005A7816" w:rsidRPr="008C0056" w:rsidRDefault="005A7816" w:rsidP="00243B83">
            <w:pPr>
              <w:ind w:left="0"/>
              <w:rPr>
                <w:b/>
                <w:bCs/>
                <w:sz w:val="20"/>
                <w:szCs w:val="20"/>
              </w:rPr>
            </w:pPr>
            <w:r w:rsidRPr="008C0056">
              <w:rPr>
                <w:b/>
                <w:bCs/>
                <w:sz w:val="20"/>
                <w:szCs w:val="20"/>
              </w:rPr>
              <w:t>NDDOT Project Number</w:t>
            </w:r>
          </w:p>
        </w:tc>
        <w:tc>
          <w:tcPr>
            <w:tcW w:w="3095" w:type="dxa"/>
            <w:gridSpan w:val="3"/>
            <w:tcBorders>
              <w:top w:val="single" w:sz="4" w:space="0" w:color="auto"/>
              <w:left w:val="nil"/>
              <w:bottom w:val="nil"/>
              <w:right w:val="single" w:sz="4" w:space="0" w:color="auto"/>
            </w:tcBorders>
            <w:shd w:val="clear" w:color="000000" w:fill="FFFFFF"/>
            <w:noWrap/>
            <w:vAlign w:val="bottom"/>
            <w:hideMark/>
          </w:tcPr>
          <w:p w14:paraId="40A775CB" w14:textId="77777777" w:rsidR="005A7816" w:rsidRPr="008C0056" w:rsidRDefault="005A7816" w:rsidP="00243B83">
            <w:pPr>
              <w:ind w:left="0"/>
              <w:rPr>
                <w:b/>
                <w:bCs/>
                <w:sz w:val="20"/>
                <w:szCs w:val="20"/>
              </w:rPr>
            </w:pPr>
            <w:r w:rsidRPr="008C0056">
              <w:rPr>
                <w:b/>
                <w:bCs/>
                <w:sz w:val="20"/>
                <w:szCs w:val="20"/>
              </w:rPr>
              <w:t>NDDOT Project Control Number</w:t>
            </w:r>
          </w:p>
        </w:tc>
        <w:tc>
          <w:tcPr>
            <w:tcW w:w="3963" w:type="dxa"/>
            <w:gridSpan w:val="4"/>
            <w:tcBorders>
              <w:top w:val="single" w:sz="4" w:space="0" w:color="auto"/>
              <w:left w:val="nil"/>
              <w:bottom w:val="nil"/>
              <w:right w:val="single" w:sz="4" w:space="0" w:color="auto"/>
            </w:tcBorders>
            <w:shd w:val="clear" w:color="000000" w:fill="FFFFFF"/>
            <w:noWrap/>
            <w:vAlign w:val="bottom"/>
            <w:hideMark/>
          </w:tcPr>
          <w:p w14:paraId="735ECAB4" w14:textId="77777777" w:rsidR="005A7816" w:rsidRPr="008C0056" w:rsidRDefault="005A7816" w:rsidP="00243B83">
            <w:pPr>
              <w:ind w:left="0"/>
              <w:rPr>
                <w:b/>
                <w:bCs/>
                <w:sz w:val="20"/>
                <w:szCs w:val="20"/>
              </w:rPr>
            </w:pPr>
            <w:r w:rsidRPr="008C0056">
              <w:rPr>
                <w:b/>
                <w:bCs/>
                <w:sz w:val="20"/>
                <w:szCs w:val="20"/>
              </w:rPr>
              <w:t>Prime Consultant Company Name</w:t>
            </w:r>
          </w:p>
        </w:tc>
      </w:tr>
      <w:tr w:rsidR="005A7816" w:rsidRPr="005A7816" w14:paraId="6728A5ED" w14:textId="77777777" w:rsidTr="00221D84">
        <w:trPr>
          <w:gridAfter w:val="1"/>
          <w:wAfter w:w="8" w:type="dxa"/>
          <w:trHeight w:val="288"/>
        </w:trPr>
        <w:tc>
          <w:tcPr>
            <w:tcW w:w="3505" w:type="dxa"/>
            <w:tcBorders>
              <w:top w:val="nil"/>
              <w:left w:val="single" w:sz="4" w:space="0" w:color="auto"/>
              <w:bottom w:val="single" w:sz="4" w:space="0" w:color="auto"/>
              <w:right w:val="single" w:sz="4" w:space="0" w:color="auto"/>
            </w:tcBorders>
            <w:shd w:val="clear" w:color="000000" w:fill="FFFFFF"/>
            <w:noWrap/>
            <w:vAlign w:val="bottom"/>
            <w:hideMark/>
          </w:tcPr>
          <w:p w14:paraId="2CE5F6B6" w14:textId="77777777" w:rsidR="005A7816" w:rsidRPr="005A7816" w:rsidRDefault="005A7816" w:rsidP="00243B83">
            <w:pPr>
              <w:ind w:left="0"/>
            </w:pPr>
            <w:r w:rsidRPr="005A7816">
              <w:t>N/A</w:t>
            </w:r>
          </w:p>
        </w:tc>
        <w:tc>
          <w:tcPr>
            <w:tcW w:w="3095" w:type="dxa"/>
            <w:gridSpan w:val="3"/>
            <w:tcBorders>
              <w:top w:val="nil"/>
              <w:left w:val="nil"/>
              <w:bottom w:val="single" w:sz="4" w:space="0" w:color="auto"/>
              <w:right w:val="single" w:sz="4" w:space="0" w:color="auto"/>
            </w:tcBorders>
            <w:shd w:val="clear" w:color="000000" w:fill="FFFFFF"/>
            <w:noWrap/>
            <w:vAlign w:val="bottom"/>
            <w:hideMark/>
          </w:tcPr>
          <w:p w14:paraId="0D36678E" w14:textId="77777777" w:rsidR="005A7816" w:rsidRPr="005A7816" w:rsidRDefault="005A7816" w:rsidP="00243B83">
            <w:pPr>
              <w:ind w:left="0"/>
            </w:pPr>
            <w:r w:rsidRPr="005A7816">
              <w:t>N/A</w:t>
            </w:r>
          </w:p>
        </w:tc>
        <w:tc>
          <w:tcPr>
            <w:tcW w:w="3963" w:type="dxa"/>
            <w:gridSpan w:val="4"/>
            <w:tcBorders>
              <w:top w:val="nil"/>
              <w:left w:val="nil"/>
              <w:bottom w:val="single" w:sz="4" w:space="0" w:color="auto"/>
              <w:right w:val="single" w:sz="4" w:space="0" w:color="auto"/>
            </w:tcBorders>
            <w:shd w:val="clear" w:color="000000" w:fill="FFFFFF"/>
            <w:noWrap/>
            <w:vAlign w:val="bottom"/>
            <w:hideMark/>
          </w:tcPr>
          <w:p w14:paraId="7B2F7857" w14:textId="77777777" w:rsidR="005A7816" w:rsidRPr="005A7816" w:rsidRDefault="005A7816" w:rsidP="00243B83">
            <w:pPr>
              <w:ind w:left="0"/>
            </w:pPr>
            <w:r w:rsidRPr="005A7816">
              <w:t> </w:t>
            </w:r>
          </w:p>
        </w:tc>
      </w:tr>
      <w:tr w:rsidR="005A7816" w:rsidRPr="005A7816" w14:paraId="3BF12B94" w14:textId="77777777" w:rsidTr="00221D84">
        <w:trPr>
          <w:gridAfter w:val="1"/>
          <w:wAfter w:w="8" w:type="dxa"/>
          <w:trHeight w:val="288"/>
        </w:trPr>
        <w:tc>
          <w:tcPr>
            <w:tcW w:w="3505" w:type="dxa"/>
            <w:tcBorders>
              <w:top w:val="nil"/>
              <w:left w:val="single" w:sz="4" w:space="0" w:color="auto"/>
              <w:bottom w:val="nil"/>
              <w:right w:val="single" w:sz="4" w:space="0" w:color="auto"/>
            </w:tcBorders>
            <w:shd w:val="clear" w:color="000000" w:fill="FFFFFF"/>
            <w:noWrap/>
            <w:vAlign w:val="bottom"/>
            <w:hideMark/>
          </w:tcPr>
          <w:p w14:paraId="1D726CE9" w14:textId="77777777" w:rsidR="005A7816" w:rsidRPr="008C0056" w:rsidRDefault="005A7816" w:rsidP="00243B83">
            <w:pPr>
              <w:ind w:left="0"/>
              <w:rPr>
                <w:b/>
                <w:bCs/>
                <w:sz w:val="22"/>
                <w:szCs w:val="22"/>
              </w:rPr>
            </w:pPr>
            <w:r w:rsidRPr="008C0056">
              <w:rPr>
                <w:b/>
                <w:bCs/>
                <w:sz w:val="22"/>
                <w:szCs w:val="22"/>
              </w:rPr>
              <w:t>Company Name</w:t>
            </w:r>
          </w:p>
        </w:tc>
        <w:tc>
          <w:tcPr>
            <w:tcW w:w="7058" w:type="dxa"/>
            <w:gridSpan w:val="7"/>
            <w:tcBorders>
              <w:top w:val="single" w:sz="4" w:space="0" w:color="auto"/>
              <w:left w:val="nil"/>
              <w:bottom w:val="nil"/>
              <w:right w:val="single" w:sz="4" w:space="0" w:color="000000"/>
            </w:tcBorders>
            <w:shd w:val="clear" w:color="000000" w:fill="FFFFFF"/>
            <w:noWrap/>
            <w:vAlign w:val="bottom"/>
            <w:hideMark/>
          </w:tcPr>
          <w:p w14:paraId="49C8EB21" w14:textId="77777777" w:rsidR="005A7816" w:rsidRPr="008C0056" w:rsidRDefault="005A7816" w:rsidP="00243B83">
            <w:pPr>
              <w:ind w:left="0"/>
              <w:rPr>
                <w:b/>
                <w:bCs/>
                <w:sz w:val="22"/>
                <w:szCs w:val="22"/>
              </w:rPr>
            </w:pPr>
            <w:r w:rsidRPr="008C0056">
              <w:rPr>
                <w:b/>
                <w:bCs/>
                <w:sz w:val="22"/>
                <w:szCs w:val="22"/>
              </w:rPr>
              <w:t>Owner</w:t>
            </w:r>
          </w:p>
        </w:tc>
      </w:tr>
      <w:tr w:rsidR="005A7816" w:rsidRPr="005A7816" w14:paraId="490FD3C5" w14:textId="77777777" w:rsidTr="00221D84">
        <w:trPr>
          <w:gridAfter w:val="1"/>
          <w:wAfter w:w="8" w:type="dxa"/>
          <w:trHeight w:val="288"/>
        </w:trPr>
        <w:tc>
          <w:tcPr>
            <w:tcW w:w="3505" w:type="dxa"/>
            <w:tcBorders>
              <w:top w:val="nil"/>
              <w:left w:val="single" w:sz="4" w:space="0" w:color="auto"/>
              <w:bottom w:val="single" w:sz="4" w:space="0" w:color="auto"/>
              <w:right w:val="single" w:sz="4" w:space="0" w:color="auto"/>
            </w:tcBorders>
            <w:shd w:val="clear" w:color="000000" w:fill="FFFFFF"/>
            <w:noWrap/>
            <w:vAlign w:val="bottom"/>
            <w:hideMark/>
          </w:tcPr>
          <w:p w14:paraId="2E219765" w14:textId="77777777" w:rsidR="005A7816" w:rsidRPr="005A7816" w:rsidRDefault="005A7816" w:rsidP="00243B83">
            <w:pPr>
              <w:ind w:left="0"/>
            </w:pPr>
            <w:r w:rsidRPr="005A7816">
              <w:t> </w:t>
            </w:r>
          </w:p>
        </w:tc>
        <w:tc>
          <w:tcPr>
            <w:tcW w:w="7058" w:type="dxa"/>
            <w:gridSpan w:val="7"/>
            <w:tcBorders>
              <w:top w:val="nil"/>
              <w:left w:val="nil"/>
              <w:bottom w:val="single" w:sz="4" w:space="0" w:color="auto"/>
              <w:right w:val="single" w:sz="4" w:space="0" w:color="000000"/>
            </w:tcBorders>
            <w:shd w:val="clear" w:color="000000" w:fill="FFFFFF"/>
            <w:noWrap/>
            <w:vAlign w:val="bottom"/>
            <w:hideMark/>
          </w:tcPr>
          <w:p w14:paraId="59B9D43B" w14:textId="77777777" w:rsidR="005A7816" w:rsidRPr="005A7816" w:rsidRDefault="005A7816" w:rsidP="00243B83">
            <w:pPr>
              <w:ind w:left="0"/>
            </w:pPr>
            <w:r w:rsidRPr="005A7816">
              <w:t> </w:t>
            </w:r>
          </w:p>
        </w:tc>
      </w:tr>
      <w:tr w:rsidR="00BD15AF" w:rsidRPr="00BD15AF" w14:paraId="09ACC07A" w14:textId="77777777" w:rsidTr="00221D84">
        <w:trPr>
          <w:trHeight w:val="288"/>
        </w:trPr>
        <w:tc>
          <w:tcPr>
            <w:tcW w:w="4856"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0B9A9772" w14:textId="77777777" w:rsidR="00BD15AF" w:rsidRPr="008C0056" w:rsidRDefault="00BD15AF" w:rsidP="00243B83">
            <w:pPr>
              <w:ind w:left="0"/>
              <w:rPr>
                <w:b/>
                <w:bCs/>
                <w:sz w:val="22"/>
                <w:szCs w:val="22"/>
              </w:rPr>
            </w:pPr>
            <w:r w:rsidRPr="008C0056">
              <w:rPr>
                <w:b/>
                <w:bCs/>
                <w:sz w:val="22"/>
                <w:szCs w:val="22"/>
              </w:rPr>
              <w:t>Address</w:t>
            </w:r>
          </w:p>
        </w:tc>
        <w:tc>
          <w:tcPr>
            <w:tcW w:w="2835" w:type="dxa"/>
            <w:gridSpan w:val="3"/>
            <w:tcBorders>
              <w:top w:val="single" w:sz="4" w:space="0" w:color="auto"/>
              <w:left w:val="nil"/>
              <w:bottom w:val="nil"/>
              <w:right w:val="single" w:sz="4" w:space="0" w:color="auto"/>
            </w:tcBorders>
            <w:shd w:val="clear" w:color="000000" w:fill="FFFFFF"/>
            <w:noWrap/>
            <w:vAlign w:val="bottom"/>
            <w:hideMark/>
          </w:tcPr>
          <w:p w14:paraId="44B0A46A" w14:textId="77777777" w:rsidR="00BD15AF" w:rsidRPr="008C0056" w:rsidRDefault="00BD15AF" w:rsidP="00243B83">
            <w:pPr>
              <w:ind w:left="0"/>
              <w:rPr>
                <w:b/>
                <w:bCs/>
                <w:sz w:val="22"/>
                <w:szCs w:val="22"/>
              </w:rPr>
            </w:pPr>
            <w:r w:rsidRPr="008C0056">
              <w:rPr>
                <w:b/>
                <w:bCs/>
                <w:sz w:val="22"/>
                <w:szCs w:val="22"/>
              </w:rPr>
              <w:t>City</w:t>
            </w:r>
          </w:p>
        </w:tc>
        <w:tc>
          <w:tcPr>
            <w:tcW w:w="990" w:type="dxa"/>
            <w:tcBorders>
              <w:top w:val="single" w:sz="4" w:space="0" w:color="auto"/>
              <w:left w:val="nil"/>
              <w:bottom w:val="nil"/>
              <w:right w:val="single" w:sz="4" w:space="0" w:color="auto"/>
            </w:tcBorders>
            <w:shd w:val="clear" w:color="000000" w:fill="FFFFFF"/>
            <w:noWrap/>
            <w:vAlign w:val="bottom"/>
            <w:hideMark/>
          </w:tcPr>
          <w:p w14:paraId="47A05298" w14:textId="77777777" w:rsidR="00BD15AF" w:rsidRPr="008C0056" w:rsidRDefault="00BD15AF" w:rsidP="00243B83">
            <w:pPr>
              <w:ind w:left="0"/>
              <w:rPr>
                <w:b/>
                <w:bCs/>
                <w:sz w:val="22"/>
                <w:szCs w:val="22"/>
              </w:rPr>
            </w:pPr>
            <w:r w:rsidRPr="008C0056">
              <w:rPr>
                <w:b/>
                <w:bCs/>
                <w:sz w:val="22"/>
                <w:szCs w:val="22"/>
              </w:rPr>
              <w:t>State</w:t>
            </w:r>
          </w:p>
        </w:tc>
        <w:tc>
          <w:tcPr>
            <w:tcW w:w="1890" w:type="dxa"/>
            <w:gridSpan w:val="3"/>
            <w:tcBorders>
              <w:top w:val="single" w:sz="4" w:space="0" w:color="auto"/>
              <w:left w:val="nil"/>
              <w:bottom w:val="nil"/>
              <w:right w:val="single" w:sz="4" w:space="0" w:color="auto"/>
            </w:tcBorders>
            <w:shd w:val="clear" w:color="000000" w:fill="FFFFFF"/>
            <w:noWrap/>
            <w:vAlign w:val="bottom"/>
            <w:hideMark/>
          </w:tcPr>
          <w:p w14:paraId="6C8D741F" w14:textId="77777777" w:rsidR="00BD15AF" w:rsidRPr="008C0056" w:rsidRDefault="00BD15AF" w:rsidP="00243B83">
            <w:pPr>
              <w:ind w:left="0"/>
              <w:rPr>
                <w:b/>
                <w:bCs/>
                <w:sz w:val="22"/>
                <w:szCs w:val="22"/>
              </w:rPr>
            </w:pPr>
            <w:r w:rsidRPr="008C0056">
              <w:rPr>
                <w:b/>
                <w:bCs/>
                <w:sz w:val="22"/>
                <w:szCs w:val="22"/>
              </w:rPr>
              <w:t>Zip Code</w:t>
            </w:r>
          </w:p>
        </w:tc>
      </w:tr>
      <w:tr w:rsidR="00BD15AF" w:rsidRPr="00BD15AF" w14:paraId="72DC36A3" w14:textId="77777777" w:rsidTr="00221D84">
        <w:trPr>
          <w:trHeight w:val="288"/>
        </w:trPr>
        <w:tc>
          <w:tcPr>
            <w:tcW w:w="485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360BB7F" w14:textId="77777777" w:rsidR="00BD15AF" w:rsidRPr="00BD15AF" w:rsidRDefault="00BD15AF" w:rsidP="00243B83">
            <w:pPr>
              <w:ind w:left="0"/>
            </w:pPr>
            <w:r w:rsidRPr="00BD15AF">
              <w:t> </w:t>
            </w:r>
          </w:p>
        </w:tc>
        <w:tc>
          <w:tcPr>
            <w:tcW w:w="2835" w:type="dxa"/>
            <w:gridSpan w:val="3"/>
            <w:tcBorders>
              <w:top w:val="nil"/>
              <w:left w:val="nil"/>
              <w:bottom w:val="single" w:sz="4" w:space="0" w:color="auto"/>
              <w:right w:val="single" w:sz="4" w:space="0" w:color="auto"/>
            </w:tcBorders>
            <w:shd w:val="clear" w:color="000000" w:fill="D9D9D9"/>
            <w:noWrap/>
            <w:vAlign w:val="bottom"/>
            <w:hideMark/>
          </w:tcPr>
          <w:p w14:paraId="7105D34C" w14:textId="77777777" w:rsidR="00BD15AF" w:rsidRPr="00BD15AF" w:rsidRDefault="00BD15AF" w:rsidP="00243B83">
            <w:pPr>
              <w:ind w:left="0"/>
            </w:pPr>
            <w:r w:rsidRPr="00BD15AF">
              <w:t> </w:t>
            </w:r>
          </w:p>
        </w:tc>
        <w:tc>
          <w:tcPr>
            <w:tcW w:w="990" w:type="dxa"/>
            <w:tcBorders>
              <w:top w:val="nil"/>
              <w:left w:val="nil"/>
              <w:bottom w:val="single" w:sz="4" w:space="0" w:color="auto"/>
              <w:right w:val="single" w:sz="4" w:space="0" w:color="auto"/>
            </w:tcBorders>
            <w:shd w:val="clear" w:color="000000" w:fill="D9D9D9"/>
            <w:noWrap/>
            <w:vAlign w:val="bottom"/>
            <w:hideMark/>
          </w:tcPr>
          <w:p w14:paraId="0787F47D" w14:textId="77777777" w:rsidR="00BD15AF" w:rsidRPr="00BD15AF" w:rsidRDefault="00BD15AF" w:rsidP="00243B83">
            <w:pPr>
              <w:ind w:left="0"/>
            </w:pPr>
            <w:r w:rsidRPr="00BD15AF">
              <w:t> </w:t>
            </w:r>
          </w:p>
        </w:tc>
        <w:tc>
          <w:tcPr>
            <w:tcW w:w="1890" w:type="dxa"/>
            <w:gridSpan w:val="3"/>
            <w:tcBorders>
              <w:top w:val="nil"/>
              <w:left w:val="nil"/>
              <w:bottom w:val="single" w:sz="4" w:space="0" w:color="auto"/>
              <w:right w:val="single" w:sz="4" w:space="0" w:color="auto"/>
            </w:tcBorders>
            <w:shd w:val="clear" w:color="000000" w:fill="D9D9D9"/>
            <w:noWrap/>
            <w:vAlign w:val="bottom"/>
            <w:hideMark/>
          </w:tcPr>
          <w:p w14:paraId="05BB05DA" w14:textId="77777777" w:rsidR="00BD15AF" w:rsidRPr="00BD15AF" w:rsidRDefault="00BD15AF" w:rsidP="00243B83">
            <w:pPr>
              <w:ind w:left="0"/>
            </w:pPr>
            <w:r w:rsidRPr="00BD15AF">
              <w:t> </w:t>
            </w:r>
          </w:p>
        </w:tc>
      </w:tr>
      <w:tr w:rsidR="002272AC" w:rsidRPr="002272AC" w14:paraId="679FBCF8" w14:textId="77777777" w:rsidTr="00221D84">
        <w:trPr>
          <w:gridAfter w:val="2"/>
          <w:wAfter w:w="46" w:type="dxa"/>
          <w:trHeight w:val="288"/>
        </w:trPr>
        <w:tc>
          <w:tcPr>
            <w:tcW w:w="3505" w:type="dxa"/>
            <w:tcBorders>
              <w:top w:val="single" w:sz="4" w:space="0" w:color="auto"/>
              <w:left w:val="single" w:sz="4" w:space="0" w:color="auto"/>
              <w:bottom w:val="nil"/>
              <w:right w:val="single" w:sz="4" w:space="0" w:color="auto"/>
            </w:tcBorders>
            <w:shd w:val="clear" w:color="000000" w:fill="FFFFFF"/>
            <w:noWrap/>
            <w:vAlign w:val="bottom"/>
            <w:hideMark/>
          </w:tcPr>
          <w:p w14:paraId="2FCD56CF" w14:textId="77777777" w:rsidR="002272AC" w:rsidRPr="008C0056" w:rsidRDefault="002272AC" w:rsidP="00243B83">
            <w:pPr>
              <w:ind w:left="0"/>
              <w:rPr>
                <w:b/>
                <w:bCs/>
                <w:sz w:val="22"/>
                <w:szCs w:val="22"/>
              </w:rPr>
            </w:pPr>
            <w:r w:rsidRPr="008C0056">
              <w:rPr>
                <w:b/>
                <w:bCs/>
                <w:sz w:val="22"/>
                <w:szCs w:val="22"/>
              </w:rPr>
              <w:t>Company Telephone Number</w:t>
            </w:r>
          </w:p>
        </w:tc>
        <w:tc>
          <w:tcPr>
            <w:tcW w:w="2305" w:type="dxa"/>
            <w:gridSpan w:val="2"/>
            <w:tcBorders>
              <w:top w:val="single" w:sz="4" w:space="0" w:color="auto"/>
              <w:left w:val="nil"/>
              <w:bottom w:val="nil"/>
              <w:right w:val="single" w:sz="4" w:space="0" w:color="auto"/>
            </w:tcBorders>
            <w:shd w:val="clear" w:color="000000" w:fill="FFFFFF"/>
            <w:noWrap/>
            <w:vAlign w:val="bottom"/>
            <w:hideMark/>
          </w:tcPr>
          <w:p w14:paraId="73881ADD" w14:textId="77777777" w:rsidR="002272AC" w:rsidRPr="008C0056" w:rsidRDefault="002272AC" w:rsidP="00243B83">
            <w:pPr>
              <w:ind w:left="0"/>
              <w:rPr>
                <w:b/>
                <w:bCs/>
                <w:sz w:val="22"/>
                <w:szCs w:val="22"/>
              </w:rPr>
            </w:pPr>
            <w:r w:rsidRPr="008C0056">
              <w:rPr>
                <w:b/>
                <w:bCs/>
                <w:sz w:val="22"/>
                <w:szCs w:val="22"/>
              </w:rPr>
              <w:t>Fax Number</w:t>
            </w:r>
          </w:p>
        </w:tc>
        <w:tc>
          <w:tcPr>
            <w:tcW w:w="4715" w:type="dxa"/>
            <w:gridSpan w:val="4"/>
            <w:tcBorders>
              <w:top w:val="single" w:sz="4" w:space="0" w:color="auto"/>
              <w:left w:val="nil"/>
              <w:bottom w:val="nil"/>
              <w:right w:val="single" w:sz="4" w:space="0" w:color="auto"/>
            </w:tcBorders>
            <w:shd w:val="clear" w:color="000000" w:fill="FFFFFF"/>
            <w:noWrap/>
            <w:vAlign w:val="bottom"/>
            <w:hideMark/>
          </w:tcPr>
          <w:p w14:paraId="477B7E0E" w14:textId="77777777" w:rsidR="002272AC" w:rsidRPr="008C0056" w:rsidRDefault="002272AC" w:rsidP="00243B83">
            <w:pPr>
              <w:ind w:left="0"/>
              <w:rPr>
                <w:b/>
                <w:bCs/>
                <w:sz w:val="22"/>
                <w:szCs w:val="22"/>
              </w:rPr>
            </w:pPr>
            <w:r w:rsidRPr="008C0056">
              <w:rPr>
                <w:b/>
                <w:bCs/>
                <w:sz w:val="22"/>
                <w:szCs w:val="22"/>
              </w:rPr>
              <w:t>Email Address</w:t>
            </w:r>
          </w:p>
        </w:tc>
      </w:tr>
      <w:tr w:rsidR="002272AC" w:rsidRPr="002272AC" w14:paraId="2F31F10F" w14:textId="77777777" w:rsidTr="00221D84">
        <w:trPr>
          <w:gridAfter w:val="2"/>
          <w:wAfter w:w="46" w:type="dxa"/>
          <w:trHeight w:val="288"/>
        </w:trPr>
        <w:tc>
          <w:tcPr>
            <w:tcW w:w="3505" w:type="dxa"/>
            <w:tcBorders>
              <w:top w:val="nil"/>
              <w:left w:val="single" w:sz="4" w:space="0" w:color="auto"/>
              <w:bottom w:val="single" w:sz="4" w:space="0" w:color="auto"/>
              <w:right w:val="single" w:sz="4" w:space="0" w:color="auto"/>
            </w:tcBorders>
            <w:shd w:val="clear" w:color="000000" w:fill="D9D9D9"/>
            <w:noWrap/>
            <w:vAlign w:val="bottom"/>
            <w:hideMark/>
          </w:tcPr>
          <w:p w14:paraId="762166C8" w14:textId="77777777" w:rsidR="002272AC" w:rsidRPr="002272AC" w:rsidRDefault="002272AC" w:rsidP="00243B83">
            <w:pPr>
              <w:ind w:left="0"/>
            </w:pPr>
            <w:r w:rsidRPr="002272AC">
              <w:t> </w:t>
            </w:r>
          </w:p>
        </w:tc>
        <w:tc>
          <w:tcPr>
            <w:tcW w:w="2305" w:type="dxa"/>
            <w:gridSpan w:val="2"/>
            <w:tcBorders>
              <w:top w:val="nil"/>
              <w:left w:val="nil"/>
              <w:bottom w:val="single" w:sz="4" w:space="0" w:color="auto"/>
              <w:right w:val="single" w:sz="4" w:space="0" w:color="auto"/>
            </w:tcBorders>
            <w:shd w:val="clear" w:color="000000" w:fill="D9D9D9"/>
            <w:noWrap/>
            <w:vAlign w:val="bottom"/>
            <w:hideMark/>
          </w:tcPr>
          <w:p w14:paraId="7A710E0C" w14:textId="77777777" w:rsidR="002272AC" w:rsidRPr="002272AC" w:rsidRDefault="002272AC" w:rsidP="00243B83">
            <w:pPr>
              <w:ind w:left="0"/>
            </w:pPr>
            <w:r w:rsidRPr="002272AC">
              <w:t> </w:t>
            </w:r>
          </w:p>
        </w:tc>
        <w:tc>
          <w:tcPr>
            <w:tcW w:w="4715" w:type="dxa"/>
            <w:gridSpan w:val="4"/>
            <w:tcBorders>
              <w:top w:val="nil"/>
              <w:left w:val="nil"/>
              <w:bottom w:val="single" w:sz="4" w:space="0" w:color="auto"/>
              <w:right w:val="single" w:sz="4" w:space="0" w:color="auto"/>
            </w:tcBorders>
            <w:shd w:val="clear" w:color="000000" w:fill="D9D9D9"/>
            <w:noWrap/>
            <w:vAlign w:val="bottom"/>
            <w:hideMark/>
          </w:tcPr>
          <w:p w14:paraId="5E34EB40" w14:textId="77777777" w:rsidR="002272AC" w:rsidRPr="002272AC" w:rsidRDefault="002272AC" w:rsidP="00243B83">
            <w:pPr>
              <w:ind w:left="0"/>
            </w:pPr>
            <w:r w:rsidRPr="002272AC">
              <w:t> </w:t>
            </w:r>
          </w:p>
        </w:tc>
      </w:tr>
    </w:tbl>
    <w:p w14:paraId="381083A0" w14:textId="77777777" w:rsidR="002272AC" w:rsidRDefault="002272AC" w:rsidP="00243B83">
      <w:pPr>
        <w:ind w:left="0"/>
      </w:pPr>
    </w:p>
    <w:p w14:paraId="4A5A5DAD" w14:textId="77777777" w:rsidR="00915145" w:rsidRPr="005C18FC" w:rsidRDefault="000F7490" w:rsidP="00243B83">
      <w:pPr>
        <w:ind w:left="0"/>
        <w:rPr>
          <w:b/>
          <w:bCs/>
        </w:rPr>
      </w:pPr>
      <w:r w:rsidRPr="005C18FC">
        <w:rPr>
          <w:b/>
          <w:bCs/>
        </w:rPr>
        <w:t>Type of Work to be Subcontracted</w:t>
      </w:r>
    </w:p>
    <w:p w14:paraId="3603502D" w14:textId="77777777" w:rsidR="00915145" w:rsidRDefault="00915145" w:rsidP="00243B83">
      <w:pPr>
        <w:ind w:left="0"/>
      </w:pPr>
    </w:p>
    <w:tbl>
      <w:tblPr>
        <w:tblW w:w="10615" w:type="dxa"/>
        <w:tblLook w:val="04A0" w:firstRow="1" w:lastRow="0" w:firstColumn="1" w:lastColumn="0" w:noHBand="0" w:noVBand="1"/>
        <w:tblCaption w:val="Type of Work to be Subcontracted"/>
        <w:tblDescription w:val="Various work types "/>
      </w:tblPr>
      <w:tblGrid>
        <w:gridCol w:w="271"/>
        <w:gridCol w:w="2540"/>
        <w:gridCol w:w="271"/>
        <w:gridCol w:w="2403"/>
        <w:gridCol w:w="271"/>
        <w:gridCol w:w="2020"/>
        <w:gridCol w:w="271"/>
        <w:gridCol w:w="858"/>
        <w:gridCol w:w="1710"/>
      </w:tblGrid>
      <w:tr w:rsidR="00F50A96" w:rsidRPr="00F50A96" w14:paraId="42FF65F0" w14:textId="77777777" w:rsidTr="002F5E19">
        <w:trPr>
          <w:trHeight w:val="288"/>
        </w:trPr>
        <w:tc>
          <w:tcPr>
            <w:tcW w:w="2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91C281" w14:textId="77777777" w:rsidR="00F50A96" w:rsidRPr="00F50A96" w:rsidRDefault="00F50A96" w:rsidP="00243B83">
            <w:pPr>
              <w:ind w:left="0"/>
            </w:pPr>
            <w:r w:rsidRPr="00F50A96">
              <w:t> </w:t>
            </w:r>
          </w:p>
        </w:tc>
        <w:tc>
          <w:tcPr>
            <w:tcW w:w="2540" w:type="dxa"/>
            <w:tcBorders>
              <w:top w:val="single" w:sz="4" w:space="0" w:color="auto"/>
              <w:left w:val="nil"/>
              <w:bottom w:val="nil"/>
              <w:right w:val="nil"/>
            </w:tcBorders>
            <w:shd w:val="clear" w:color="000000" w:fill="FFFFFF"/>
            <w:noWrap/>
            <w:vAlign w:val="bottom"/>
            <w:hideMark/>
          </w:tcPr>
          <w:p w14:paraId="13DF985F" w14:textId="77777777" w:rsidR="00F50A96" w:rsidRPr="008C0056" w:rsidRDefault="00F50A96" w:rsidP="00243B83">
            <w:pPr>
              <w:ind w:left="0"/>
              <w:rPr>
                <w:sz w:val="22"/>
                <w:szCs w:val="22"/>
              </w:rPr>
            </w:pPr>
            <w:r w:rsidRPr="008C0056">
              <w:rPr>
                <w:sz w:val="22"/>
                <w:szCs w:val="22"/>
              </w:rPr>
              <w:t xml:space="preserve"> Appraisals</w:t>
            </w:r>
          </w:p>
        </w:tc>
        <w:tc>
          <w:tcPr>
            <w:tcW w:w="2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E52F42" w14:textId="77777777" w:rsidR="00F50A96" w:rsidRPr="00F50A96" w:rsidRDefault="00F50A96" w:rsidP="00243B83">
            <w:pPr>
              <w:ind w:left="0"/>
            </w:pPr>
            <w:r w:rsidRPr="00F50A96">
              <w:t> </w:t>
            </w:r>
          </w:p>
        </w:tc>
        <w:tc>
          <w:tcPr>
            <w:tcW w:w="2403" w:type="dxa"/>
            <w:tcBorders>
              <w:top w:val="single" w:sz="4" w:space="0" w:color="auto"/>
              <w:left w:val="nil"/>
              <w:bottom w:val="nil"/>
              <w:right w:val="nil"/>
            </w:tcBorders>
            <w:shd w:val="clear" w:color="000000" w:fill="FFFFFF"/>
            <w:noWrap/>
            <w:vAlign w:val="bottom"/>
            <w:hideMark/>
          </w:tcPr>
          <w:p w14:paraId="0A52BA0A" w14:textId="77777777" w:rsidR="00F50A96" w:rsidRPr="008C0056" w:rsidRDefault="00F50A96" w:rsidP="00243B83">
            <w:pPr>
              <w:ind w:left="0"/>
              <w:rPr>
                <w:sz w:val="22"/>
                <w:szCs w:val="22"/>
              </w:rPr>
            </w:pPr>
            <w:r w:rsidRPr="008C0056">
              <w:rPr>
                <w:sz w:val="22"/>
                <w:szCs w:val="22"/>
              </w:rPr>
              <w:t xml:space="preserve"> Environmental</w:t>
            </w:r>
          </w:p>
        </w:tc>
        <w:tc>
          <w:tcPr>
            <w:tcW w:w="2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B7DAEA" w14:textId="77777777" w:rsidR="00F50A96" w:rsidRPr="00F50A96" w:rsidRDefault="00F50A96" w:rsidP="00243B83">
            <w:pPr>
              <w:ind w:left="0"/>
            </w:pPr>
            <w:r w:rsidRPr="00F50A96">
              <w:t> </w:t>
            </w:r>
          </w:p>
        </w:tc>
        <w:tc>
          <w:tcPr>
            <w:tcW w:w="2020" w:type="dxa"/>
            <w:tcBorders>
              <w:top w:val="single" w:sz="4" w:space="0" w:color="auto"/>
              <w:left w:val="nil"/>
              <w:bottom w:val="nil"/>
              <w:right w:val="nil"/>
            </w:tcBorders>
            <w:shd w:val="clear" w:color="000000" w:fill="FFFFFF"/>
            <w:noWrap/>
            <w:vAlign w:val="bottom"/>
            <w:hideMark/>
          </w:tcPr>
          <w:p w14:paraId="02560F37" w14:textId="77777777" w:rsidR="00F50A96" w:rsidRPr="008C0056" w:rsidRDefault="00F50A96" w:rsidP="00243B83">
            <w:pPr>
              <w:ind w:left="0"/>
              <w:rPr>
                <w:sz w:val="22"/>
                <w:szCs w:val="22"/>
              </w:rPr>
            </w:pPr>
            <w:r w:rsidRPr="008C0056">
              <w:rPr>
                <w:sz w:val="22"/>
                <w:szCs w:val="22"/>
              </w:rPr>
              <w:t xml:space="preserve"> Planning</w:t>
            </w:r>
          </w:p>
        </w:tc>
        <w:tc>
          <w:tcPr>
            <w:tcW w:w="2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925A0B" w14:textId="77777777" w:rsidR="00F50A96" w:rsidRPr="00F50A96" w:rsidRDefault="00F50A96" w:rsidP="00243B83">
            <w:pPr>
              <w:ind w:left="0"/>
            </w:pPr>
            <w:r w:rsidRPr="00F50A96">
              <w:t> </w:t>
            </w:r>
          </w:p>
        </w:tc>
        <w:tc>
          <w:tcPr>
            <w:tcW w:w="2568" w:type="dxa"/>
            <w:gridSpan w:val="2"/>
            <w:tcBorders>
              <w:top w:val="single" w:sz="4" w:space="0" w:color="auto"/>
              <w:left w:val="nil"/>
              <w:bottom w:val="nil"/>
              <w:right w:val="single" w:sz="4" w:space="0" w:color="000000"/>
            </w:tcBorders>
            <w:shd w:val="clear" w:color="000000" w:fill="FFFFFF"/>
            <w:noWrap/>
            <w:vAlign w:val="bottom"/>
            <w:hideMark/>
          </w:tcPr>
          <w:p w14:paraId="1B952028" w14:textId="77777777" w:rsidR="00F50A96" w:rsidRPr="008C0056" w:rsidRDefault="00F50A96" w:rsidP="00243B83">
            <w:pPr>
              <w:ind w:left="0"/>
              <w:rPr>
                <w:sz w:val="22"/>
                <w:szCs w:val="22"/>
              </w:rPr>
            </w:pPr>
            <w:r w:rsidRPr="008C0056">
              <w:rPr>
                <w:sz w:val="22"/>
                <w:szCs w:val="22"/>
              </w:rPr>
              <w:t xml:space="preserve"> Structural Design</w:t>
            </w:r>
          </w:p>
        </w:tc>
      </w:tr>
      <w:tr w:rsidR="00F50A96" w:rsidRPr="00F50A96" w14:paraId="39730630" w14:textId="77777777" w:rsidTr="002F5E19">
        <w:trPr>
          <w:trHeight w:val="288"/>
        </w:trPr>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5AF685FF" w14:textId="77777777" w:rsidR="00F50A96" w:rsidRPr="00F50A96" w:rsidRDefault="00F50A96" w:rsidP="00243B83">
            <w:pPr>
              <w:ind w:left="0"/>
            </w:pPr>
            <w:r w:rsidRPr="00F50A96">
              <w:t> </w:t>
            </w:r>
          </w:p>
        </w:tc>
        <w:tc>
          <w:tcPr>
            <w:tcW w:w="2540" w:type="dxa"/>
            <w:tcBorders>
              <w:top w:val="nil"/>
              <w:left w:val="nil"/>
              <w:bottom w:val="nil"/>
              <w:right w:val="nil"/>
            </w:tcBorders>
            <w:shd w:val="clear" w:color="000000" w:fill="FFFFFF"/>
            <w:noWrap/>
            <w:vAlign w:val="bottom"/>
            <w:hideMark/>
          </w:tcPr>
          <w:p w14:paraId="3E7F715C" w14:textId="77777777" w:rsidR="00F50A96" w:rsidRPr="008C0056" w:rsidRDefault="00F50A96" w:rsidP="00243B83">
            <w:pPr>
              <w:ind w:left="0"/>
              <w:rPr>
                <w:sz w:val="22"/>
                <w:szCs w:val="22"/>
              </w:rPr>
            </w:pPr>
            <w:r w:rsidRPr="008C0056">
              <w:rPr>
                <w:sz w:val="22"/>
                <w:szCs w:val="22"/>
              </w:rPr>
              <w:t xml:space="preserve"> Architecture</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3A2CBB93" w14:textId="77777777" w:rsidR="00F50A96" w:rsidRPr="00F50A96" w:rsidRDefault="00F50A96" w:rsidP="00243B83">
            <w:pPr>
              <w:ind w:left="0"/>
            </w:pPr>
            <w:r w:rsidRPr="00F50A96">
              <w:t> </w:t>
            </w:r>
          </w:p>
        </w:tc>
        <w:tc>
          <w:tcPr>
            <w:tcW w:w="2403" w:type="dxa"/>
            <w:tcBorders>
              <w:top w:val="nil"/>
              <w:left w:val="nil"/>
              <w:bottom w:val="nil"/>
              <w:right w:val="nil"/>
            </w:tcBorders>
            <w:shd w:val="clear" w:color="000000" w:fill="FFFFFF"/>
            <w:noWrap/>
            <w:vAlign w:val="bottom"/>
            <w:hideMark/>
          </w:tcPr>
          <w:p w14:paraId="6124D87B" w14:textId="77777777" w:rsidR="00F50A96" w:rsidRPr="008C0056" w:rsidRDefault="00F50A96" w:rsidP="00243B83">
            <w:pPr>
              <w:ind w:left="0"/>
              <w:rPr>
                <w:sz w:val="22"/>
                <w:szCs w:val="22"/>
              </w:rPr>
            </w:pPr>
            <w:r w:rsidRPr="008C0056">
              <w:rPr>
                <w:sz w:val="22"/>
                <w:szCs w:val="22"/>
              </w:rPr>
              <w:t xml:space="preserve"> Geotechnical</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5D91DDF8" w14:textId="77777777" w:rsidR="00F50A96" w:rsidRPr="00F50A96" w:rsidRDefault="00F50A96" w:rsidP="00243B83">
            <w:pPr>
              <w:ind w:left="0"/>
            </w:pPr>
            <w:r w:rsidRPr="00F50A96">
              <w:t> </w:t>
            </w:r>
          </w:p>
        </w:tc>
        <w:tc>
          <w:tcPr>
            <w:tcW w:w="2020" w:type="dxa"/>
            <w:tcBorders>
              <w:top w:val="nil"/>
              <w:left w:val="nil"/>
              <w:bottom w:val="nil"/>
              <w:right w:val="nil"/>
            </w:tcBorders>
            <w:shd w:val="clear" w:color="000000" w:fill="FFFFFF"/>
            <w:noWrap/>
            <w:vAlign w:val="bottom"/>
            <w:hideMark/>
          </w:tcPr>
          <w:p w14:paraId="3FFD5387" w14:textId="77777777" w:rsidR="00F50A96" w:rsidRPr="008C0056" w:rsidRDefault="00F50A96" w:rsidP="00243B83">
            <w:pPr>
              <w:ind w:left="0"/>
              <w:rPr>
                <w:sz w:val="22"/>
                <w:szCs w:val="22"/>
              </w:rPr>
            </w:pPr>
            <w:r w:rsidRPr="008C0056">
              <w:rPr>
                <w:sz w:val="22"/>
                <w:szCs w:val="22"/>
              </w:rPr>
              <w:t xml:space="preserve"> Public Involvement</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747A331D" w14:textId="77777777" w:rsidR="00F50A96" w:rsidRPr="00F50A96" w:rsidRDefault="00F50A96" w:rsidP="00243B83">
            <w:pPr>
              <w:ind w:left="0"/>
            </w:pPr>
            <w:r w:rsidRPr="00F50A96">
              <w:t> </w:t>
            </w:r>
          </w:p>
        </w:tc>
        <w:tc>
          <w:tcPr>
            <w:tcW w:w="2568" w:type="dxa"/>
            <w:gridSpan w:val="2"/>
            <w:tcBorders>
              <w:top w:val="nil"/>
              <w:left w:val="nil"/>
              <w:bottom w:val="nil"/>
              <w:right w:val="single" w:sz="4" w:space="0" w:color="000000"/>
            </w:tcBorders>
            <w:shd w:val="clear" w:color="000000" w:fill="FFFFFF"/>
            <w:noWrap/>
            <w:vAlign w:val="bottom"/>
            <w:hideMark/>
          </w:tcPr>
          <w:p w14:paraId="0F07CDE8" w14:textId="77777777" w:rsidR="00F50A96" w:rsidRPr="008C0056" w:rsidRDefault="00F50A96" w:rsidP="00243B83">
            <w:pPr>
              <w:ind w:left="0"/>
              <w:rPr>
                <w:sz w:val="22"/>
                <w:szCs w:val="22"/>
              </w:rPr>
            </w:pPr>
            <w:r w:rsidRPr="008C0056">
              <w:rPr>
                <w:sz w:val="22"/>
                <w:szCs w:val="22"/>
              </w:rPr>
              <w:t xml:space="preserve"> Survey</w:t>
            </w:r>
          </w:p>
        </w:tc>
      </w:tr>
      <w:tr w:rsidR="00F50A96" w:rsidRPr="00F50A96" w14:paraId="2C365ABE" w14:textId="77777777" w:rsidTr="002F5E19">
        <w:trPr>
          <w:trHeight w:val="288"/>
        </w:trPr>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0CC12F2A" w14:textId="77777777" w:rsidR="00F50A96" w:rsidRPr="00F50A96" w:rsidRDefault="00F50A96" w:rsidP="00243B83">
            <w:pPr>
              <w:ind w:left="0"/>
            </w:pPr>
            <w:r w:rsidRPr="00F50A96">
              <w:t> </w:t>
            </w:r>
          </w:p>
        </w:tc>
        <w:tc>
          <w:tcPr>
            <w:tcW w:w="2540" w:type="dxa"/>
            <w:tcBorders>
              <w:top w:val="nil"/>
              <w:left w:val="nil"/>
              <w:bottom w:val="nil"/>
              <w:right w:val="nil"/>
            </w:tcBorders>
            <w:shd w:val="clear" w:color="000000" w:fill="FFFFFF"/>
            <w:noWrap/>
            <w:vAlign w:val="bottom"/>
            <w:hideMark/>
          </w:tcPr>
          <w:p w14:paraId="6A3B1BEC" w14:textId="77777777" w:rsidR="00F50A96" w:rsidRPr="008C0056" w:rsidRDefault="00F50A96" w:rsidP="00243B83">
            <w:pPr>
              <w:ind w:left="0"/>
              <w:rPr>
                <w:sz w:val="22"/>
                <w:szCs w:val="22"/>
              </w:rPr>
            </w:pPr>
            <w:r w:rsidRPr="008C0056">
              <w:rPr>
                <w:sz w:val="22"/>
                <w:szCs w:val="22"/>
              </w:rPr>
              <w:t xml:space="preserve"> Bridge Inspection</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78AB1961" w14:textId="77777777" w:rsidR="00F50A96" w:rsidRPr="00F50A96" w:rsidRDefault="00F50A96" w:rsidP="00243B83">
            <w:pPr>
              <w:ind w:left="0"/>
            </w:pPr>
            <w:r w:rsidRPr="00F50A96">
              <w:t> </w:t>
            </w:r>
          </w:p>
        </w:tc>
        <w:tc>
          <w:tcPr>
            <w:tcW w:w="2403" w:type="dxa"/>
            <w:tcBorders>
              <w:top w:val="nil"/>
              <w:left w:val="nil"/>
              <w:bottom w:val="nil"/>
              <w:right w:val="nil"/>
            </w:tcBorders>
            <w:shd w:val="clear" w:color="000000" w:fill="FFFFFF"/>
            <w:noWrap/>
            <w:vAlign w:val="bottom"/>
            <w:hideMark/>
          </w:tcPr>
          <w:p w14:paraId="56F9869D" w14:textId="77777777" w:rsidR="00F50A96" w:rsidRPr="008C0056" w:rsidRDefault="00F50A96" w:rsidP="00243B83">
            <w:pPr>
              <w:ind w:left="0"/>
              <w:rPr>
                <w:sz w:val="22"/>
                <w:szCs w:val="22"/>
              </w:rPr>
            </w:pPr>
            <w:r w:rsidRPr="008C0056">
              <w:rPr>
                <w:sz w:val="22"/>
                <w:szCs w:val="22"/>
              </w:rPr>
              <w:t xml:space="preserve"> Materials Testing</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3DAE0FEC" w14:textId="77777777" w:rsidR="00F50A96" w:rsidRPr="00F50A96" w:rsidRDefault="00F50A96" w:rsidP="00243B83">
            <w:pPr>
              <w:ind w:left="0"/>
            </w:pPr>
            <w:r w:rsidRPr="00F50A96">
              <w:t> </w:t>
            </w:r>
          </w:p>
        </w:tc>
        <w:tc>
          <w:tcPr>
            <w:tcW w:w="2020" w:type="dxa"/>
            <w:tcBorders>
              <w:top w:val="nil"/>
              <w:left w:val="nil"/>
              <w:bottom w:val="nil"/>
              <w:right w:val="nil"/>
            </w:tcBorders>
            <w:shd w:val="clear" w:color="000000" w:fill="FFFFFF"/>
            <w:noWrap/>
            <w:vAlign w:val="bottom"/>
            <w:hideMark/>
          </w:tcPr>
          <w:p w14:paraId="59A5B73C" w14:textId="77777777" w:rsidR="00F50A96" w:rsidRPr="008C0056" w:rsidRDefault="00F50A96" w:rsidP="00243B83">
            <w:pPr>
              <w:ind w:left="0"/>
              <w:rPr>
                <w:sz w:val="22"/>
                <w:szCs w:val="22"/>
              </w:rPr>
            </w:pPr>
            <w:r w:rsidRPr="008C0056">
              <w:rPr>
                <w:sz w:val="22"/>
                <w:szCs w:val="22"/>
              </w:rPr>
              <w:t xml:space="preserve"> Roadway Design</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45736538" w14:textId="77777777" w:rsidR="00F50A96" w:rsidRPr="00F50A96" w:rsidRDefault="00F50A96" w:rsidP="00243B83">
            <w:pPr>
              <w:ind w:left="0"/>
            </w:pPr>
            <w:r w:rsidRPr="00F50A96">
              <w:t> </w:t>
            </w:r>
          </w:p>
        </w:tc>
        <w:tc>
          <w:tcPr>
            <w:tcW w:w="2568" w:type="dxa"/>
            <w:gridSpan w:val="2"/>
            <w:tcBorders>
              <w:top w:val="nil"/>
              <w:left w:val="nil"/>
              <w:bottom w:val="nil"/>
              <w:right w:val="single" w:sz="4" w:space="0" w:color="000000"/>
            </w:tcBorders>
            <w:shd w:val="clear" w:color="000000" w:fill="FFFFFF"/>
            <w:noWrap/>
            <w:vAlign w:val="bottom"/>
            <w:hideMark/>
          </w:tcPr>
          <w:p w14:paraId="76FEE8D0" w14:textId="77777777" w:rsidR="00F50A96" w:rsidRPr="008C0056" w:rsidRDefault="00F50A96" w:rsidP="00243B83">
            <w:pPr>
              <w:ind w:left="0"/>
              <w:rPr>
                <w:sz w:val="22"/>
                <w:szCs w:val="22"/>
              </w:rPr>
            </w:pPr>
            <w:r w:rsidRPr="008C0056">
              <w:rPr>
                <w:sz w:val="22"/>
                <w:szCs w:val="22"/>
              </w:rPr>
              <w:t xml:space="preserve"> Traffic Operations</w:t>
            </w:r>
          </w:p>
        </w:tc>
      </w:tr>
      <w:tr w:rsidR="00F50A96" w:rsidRPr="00F50A96" w14:paraId="66B70920" w14:textId="77777777" w:rsidTr="002F5E19">
        <w:trPr>
          <w:trHeight w:val="288"/>
        </w:trPr>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3C43E325" w14:textId="77777777" w:rsidR="00F50A96" w:rsidRPr="00F50A96" w:rsidRDefault="00F50A96" w:rsidP="00243B83">
            <w:pPr>
              <w:ind w:left="0"/>
            </w:pPr>
            <w:r w:rsidRPr="00F50A96">
              <w:t> </w:t>
            </w:r>
          </w:p>
        </w:tc>
        <w:tc>
          <w:tcPr>
            <w:tcW w:w="2540" w:type="dxa"/>
            <w:tcBorders>
              <w:top w:val="nil"/>
              <w:left w:val="nil"/>
              <w:bottom w:val="nil"/>
              <w:right w:val="nil"/>
            </w:tcBorders>
            <w:shd w:val="clear" w:color="000000" w:fill="FFFFFF"/>
            <w:noWrap/>
            <w:vAlign w:val="bottom"/>
            <w:hideMark/>
          </w:tcPr>
          <w:p w14:paraId="136DDE28" w14:textId="77777777" w:rsidR="00F50A96" w:rsidRPr="008C0056" w:rsidRDefault="00F50A96" w:rsidP="00243B83">
            <w:pPr>
              <w:ind w:left="0"/>
              <w:rPr>
                <w:sz w:val="22"/>
                <w:szCs w:val="22"/>
              </w:rPr>
            </w:pPr>
            <w:r w:rsidRPr="008C0056">
              <w:rPr>
                <w:sz w:val="22"/>
                <w:szCs w:val="22"/>
              </w:rPr>
              <w:t xml:space="preserve"> Construction Engineering</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78F06497" w14:textId="77777777" w:rsidR="00F50A96" w:rsidRPr="00F50A96" w:rsidRDefault="00F50A96" w:rsidP="00243B83">
            <w:pPr>
              <w:ind w:left="0"/>
            </w:pPr>
            <w:r w:rsidRPr="00F50A96">
              <w:t> </w:t>
            </w:r>
          </w:p>
        </w:tc>
        <w:tc>
          <w:tcPr>
            <w:tcW w:w="2403" w:type="dxa"/>
            <w:tcBorders>
              <w:top w:val="nil"/>
              <w:left w:val="nil"/>
              <w:bottom w:val="nil"/>
              <w:right w:val="nil"/>
            </w:tcBorders>
            <w:shd w:val="clear" w:color="000000" w:fill="FFFFFF"/>
            <w:noWrap/>
            <w:vAlign w:val="bottom"/>
            <w:hideMark/>
          </w:tcPr>
          <w:p w14:paraId="395000AC" w14:textId="77777777" w:rsidR="00F50A96" w:rsidRPr="008C0056" w:rsidRDefault="00F50A96" w:rsidP="00243B83">
            <w:pPr>
              <w:ind w:left="0"/>
              <w:rPr>
                <w:sz w:val="22"/>
                <w:szCs w:val="22"/>
              </w:rPr>
            </w:pPr>
            <w:r w:rsidRPr="008C0056">
              <w:rPr>
                <w:sz w:val="22"/>
                <w:szCs w:val="22"/>
              </w:rPr>
              <w:t xml:space="preserve"> Partnering Facilitation</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4D369E3A" w14:textId="77777777" w:rsidR="00F50A96" w:rsidRPr="00F50A96" w:rsidRDefault="00F50A96" w:rsidP="00243B83">
            <w:pPr>
              <w:ind w:left="0"/>
            </w:pPr>
            <w:r w:rsidRPr="00F50A96">
              <w:t> </w:t>
            </w:r>
          </w:p>
        </w:tc>
        <w:tc>
          <w:tcPr>
            <w:tcW w:w="2020" w:type="dxa"/>
            <w:tcBorders>
              <w:top w:val="nil"/>
              <w:left w:val="nil"/>
              <w:bottom w:val="nil"/>
              <w:right w:val="nil"/>
            </w:tcBorders>
            <w:shd w:val="clear" w:color="000000" w:fill="FFFFFF"/>
            <w:noWrap/>
            <w:vAlign w:val="bottom"/>
            <w:hideMark/>
          </w:tcPr>
          <w:p w14:paraId="4360E572" w14:textId="77777777" w:rsidR="00F50A96" w:rsidRPr="008C0056" w:rsidRDefault="00F50A96" w:rsidP="00243B83">
            <w:pPr>
              <w:ind w:left="0"/>
              <w:rPr>
                <w:sz w:val="22"/>
                <w:szCs w:val="22"/>
              </w:rPr>
            </w:pPr>
            <w:r w:rsidRPr="008C0056">
              <w:rPr>
                <w:sz w:val="22"/>
                <w:szCs w:val="22"/>
              </w:rPr>
              <w:t xml:space="preserve"> Soil Contamination</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774F201A" w14:textId="77777777" w:rsidR="00F50A96" w:rsidRPr="00F50A96" w:rsidRDefault="00F50A96" w:rsidP="00243B83">
            <w:pPr>
              <w:ind w:left="0"/>
            </w:pPr>
            <w:r w:rsidRPr="00F50A96">
              <w:t> </w:t>
            </w:r>
          </w:p>
        </w:tc>
        <w:tc>
          <w:tcPr>
            <w:tcW w:w="2568" w:type="dxa"/>
            <w:gridSpan w:val="2"/>
            <w:tcBorders>
              <w:top w:val="nil"/>
              <w:left w:val="nil"/>
              <w:bottom w:val="nil"/>
              <w:right w:val="single" w:sz="4" w:space="0" w:color="000000"/>
            </w:tcBorders>
            <w:shd w:val="clear" w:color="000000" w:fill="FFFFFF"/>
            <w:noWrap/>
            <w:vAlign w:val="bottom"/>
            <w:hideMark/>
          </w:tcPr>
          <w:p w14:paraId="318F6F8C" w14:textId="77777777" w:rsidR="00F50A96" w:rsidRPr="008C0056" w:rsidRDefault="00F50A96" w:rsidP="00243B83">
            <w:pPr>
              <w:ind w:left="0"/>
              <w:rPr>
                <w:sz w:val="22"/>
                <w:szCs w:val="22"/>
              </w:rPr>
            </w:pPr>
            <w:r w:rsidRPr="008C0056">
              <w:rPr>
                <w:sz w:val="22"/>
                <w:szCs w:val="22"/>
              </w:rPr>
              <w:t xml:space="preserve"> Wetlands Delineation</w:t>
            </w:r>
          </w:p>
        </w:tc>
      </w:tr>
      <w:tr w:rsidR="00F50A96" w:rsidRPr="00F50A96" w14:paraId="24549E2F" w14:textId="77777777" w:rsidTr="002F5E19">
        <w:trPr>
          <w:trHeight w:val="288"/>
        </w:trPr>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16E60478" w14:textId="77777777" w:rsidR="00F50A96" w:rsidRPr="00F50A96" w:rsidRDefault="00F50A96" w:rsidP="00243B83">
            <w:pPr>
              <w:ind w:left="0"/>
            </w:pPr>
            <w:r w:rsidRPr="00F50A96">
              <w:t> </w:t>
            </w:r>
          </w:p>
        </w:tc>
        <w:tc>
          <w:tcPr>
            <w:tcW w:w="2540" w:type="dxa"/>
            <w:tcBorders>
              <w:top w:val="nil"/>
              <w:left w:val="nil"/>
              <w:bottom w:val="single" w:sz="4" w:space="0" w:color="auto"/>
              <w:right w:val="nil"/>
            </w:tcBorders>
            <w:shd w:val="clear" w:color="000000" w:fill="FFFFFF"/>
            <w:noWrap/>
            <w:vAlign w:val="bottom"/>
            <w:hideMark/>
          </w:tcPr>
          <w:p w14:paraId="11461C08" w14:textId="77777777" w:rsidR="00F50A96" w:rsidRPr="008C0056" w:rsidRDefault="00F50A96" w:rsidP="00243B83">
            <w:pPr>
              <w:ind w:left="0"/>
              <w:rPr>
                <w:sz w:val="22"/>
                <w:szCs w:val="22"/>
              </w:rPr>
            </w:pPr>
            <w:r w:rsidRPr="008C0056">
              <w:rPr>
                <w:sz w:val="22"/>
                <w:szCs w:val="22"/>
              </w:rPr>
              <w:t xml:space="preserve"> Cultural Resources</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49AE075E" w14:textId="77777777" w:rsidR="00F50A96" w:rsidRPr="00F50A96" w:rsidRDefault="00F50A96" w:rsidP="00243B83">
            <w:pPr>
              <w:ind w:left="0"/>
            </w:pPr>
            <w:r w:rsidRPr="00F50A96">
              <w:t> </w:t>
            </w:r>
          </w:p>
        </w:tc>
        <w:tc>
          <w:tcPr>
            <w:tcW w:w="2403" w:type="dxa"/>
            <w:tcBorders>
              <w:top w:val="nil"/>
              <w:left w:val="nil"/>
              <w:bottom w:val="single" w:sz="4" w:space="0" w:color="auto"/>
              <w:right w:val="nil"/>
            </w:tcBorders>
            <w:shd w:val="clear" w:color="000000" w:fill="FFFFFF"/>
            <w:noWrap/>
            <w:vAlign w:val="bottom"/>
            <w:hideMark/>
          </w:tcPr>
          <w:p w14:paraId="345D7E49" w14:textId="77777777" w:rsidR="00F50A96" w:rsidRPr="008C0056" w:rsidRDefault="00F50A96" w:rsidP="00243B83">
            <w:pPr>
              <w:ind w:left="0"/>
              <w:rPr>
                <w:sz w:val="22"/>
                <w:szCs w:val="22"/>
              </w:rPr>
            </w:pPr>
            <w:r w:rsidRPr="008C0056">
              <w:rPr>
                <w:sz w:val="22"/>
                <w:szCs w:val="22"/>
              </w:rPr>
              <w:t xml:space="preserve"> Photogrammetry</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01C287E5" w14:textId="77777777" w:rsidR="00F50A96" w:rsidRPr="00F50A96" w:rsidRDefault="00F50A96" w:rsidP="00243B83">
            <w:pPr>
              <w:ind w:left="0"/>
            </w:pPr>
            <w:r w:rsidRPr="00F50A96">
              <w:t> </w:t>
            </w:r>
          </w:p>
        </w:tc>
        <w:tc>
          <w:tcPr>
            <w:tcW w:w="2020" w:type="dxa"/>
            <w:tcBorders>
              <w:top w:val="nil"/>
              <w:left w:val="nil"/>
              <w:bottom w:val="single" w:sz="4" w:space="0" w:color="auto"/>
              <w:right w:val="nil"/>
            </w:tcBorders>
            <w:shd w:val="clear" w:color="000000" w:fill="FFFFFF"/>
            <w:noWrap/>
            <w:vAlign w:val="bottom"/>
            <w:hideMark/>
          </w:tcPr>
          <w:p w14:paraId="1EE419B6" w14:textId="77777777" w:rsidR="00F50A96" w:rsidRPr="008C0056" w:rsidRDefault="00F50A96" w:rsidP="00243B83">
            <w:pPr>
              <w:ind w:left="0"/>
              <w:rPr>
                <w:sz w:val="22"/>
                <w:szCs w:val="22"/>
              </w:rPr>
            </w:pPr>
            <w:r w:rsidRPr="008C0056">
              <w:rPr>
                <w:sz w:val="22"/>
                <w:szCs w:val="22"/>
              </w:rPr>
              <w:t xml:space="preserve"> Steel Fabrication</w:t>
            </w:r>
          </w:p>
        </w:tc>
        <w:tc>
          <w:tcPr>
            <w:tcW w:w="271" w:type="dxa"/>
            <w:tcBorders>
              <w:top w:val="nil"/>
              <w:left w:val="single" w:sz="4" w:space="0" w:color="auto"/>
              <w:bottom w:val="single" w:sz="4" w:space="0" w:color="auto"/>
              <w:right w:val="single" w:sz="4" w:space="0" w:color="auto"/>
            </w:tcBorders>
            <w:shd w:val="clear" w:color="000000" w:fill="FFFFFF"/>
            <w:noWrap/>
            <w:vAlign w:val="bottom"/>
            <w:hideMark/>
          </w:tcPr>
          <w:p w14:paraId="2FBB1378" w14:textId="77777777" w:rsidR="00F50A96" w:rsidRPr="00F50A96" w:rsidRDefault="00F50A96" w:rsidP="00243B83">
            <w:pPr>
              <w:ind w:left="0"/>
            </w:pPr>
            <w:r w:rsidRPr="00F50A96">
              <w:t> </w:t>
            </w:r>
          </w:p>
        </w:tc>
        <w:tc>
          <w:tcPr>
            <w:tcW w:w="858" w:type="dxa"/>
            <w:tcBorders>
              <w:top w:val="nil"/>
              <w:left w:val="nil"/>
              <w:bottom w:val="single" w:sz="4" w:space="0" w:color="auto"/>
              <w:right w:val="nil"/>
            </w:tcBorders>
            <w:shd w:val="clear" w:color="000000" w:fill="FFFFFF"/>
            <w:noWrap/>
            <w:vAlign w:val="bottom"/>
            <w:hideMark/>
          </w:tcPr>
          <w:p w14:paraId="36E69D7D" w14:textId="77777777" w:rsidR="00F50A96" w:rsidRPr="008C0056" w:rsidRDefault="00F50A96" w:rsidP="00243B83">
            <w:pPr>
              <w:ind w:left="0"/>
              <w:rPr>
                <w:sz w:val="22"/>
                <w:szCs w:val="22"/>
              </w:rPr>
            </w:pPr>
            <w:r w:rsidRPr="00F50A96">
              <w:t xml:space="preserve"> </w:t>
            </w:r>
            <w:r w:rsidRPr="008C0056">
              <w:rPr>
                <w:sz w:val="22"/>
                <w:szCs w:val="22"/>
              </w:rPr>
              <w:t>Other</w:t>
            </w:r>
          </w:p>
        </w:tc>
        <w:tc>
          <w:tcPr>
            <w:tcW w:w="1710" w:type="dxa"/>
            <w:tcBorders>
              <w:top w:val="nil"/>
              <w:left w:val="nil"/>
              <w:bottom w:val="single" w:sz="4" w:space="0" w:color="auto"/>
              <w:right w:val="single" w:sz="4" w:space="0" w:color="auto"/>
            </w:tcBorders>
            <w:shd w:val="clear" w:color="000000" w:fill="D9D9D9"/>
            <w:noWrap/>
            <w:vAlign w:val="bottom"/>
            <w:hideMark/>
          </w:tcPr>
          <w:p w14:paraId="48349568" w14:textId="77777777" w:rsidR="00F50A96" w:rsidRPr="00F50A96" w:rsidRDefault="00F50A96" w:rsidP="00243B83">
            <w:pPr>
              <w:ind w:left="0"/>
            </w:pPr>
            <w:r w:rsidRPr="00F50A96">
              <w:t> </w:t>
            </w:r>
          </w:p>
        </w:tc>
      </w:tr>
    </w:tbl>
    <w:p w14:paraId="358DCF75" w14:textId="77777777" w:rsidR="007C30BD" w:rsidRDefault="007C30BD" w:rsidP="00243B83">
      <w:pPr>
        <w:ind w:left="0"/>
      </w:pPr>
    </w:p>
    <w:p w14:paraId="4BB62037" w14:textId="094B410D" w:rsidR="009B40E9" w:rsidRDefault="00AE3BBD" w:rsidP="00243B83">
      <w:pPr>
        <w:ind w:left="0"/>
      </w:pPr>
      <w:r>
        <w:t>The</w:t>
      </w:r>
      <w:r w:rsidR="00D539C5">
        <w:t xml:space="preserve"> undersigned declares that all statements listed above are true.</w:t>
      </w:r>
    </w:p>
    <w:p w14:paraId="76E42446" w14:textId="77777777" w:rsidR="00D539C5" w:rsidRDefault="00D539C5" w:rsidP="00243B83">
      <w:pPr>
        <w:ind w:left="0"/>
      </w:pPr>
    </w:p>
    <w:tbl>
      <w:tblPr>
        <w:tblW w:w="10615" w:type="dxa"/>
        <w:tblLook w:val="04A0" w:firstRow="1" w:lastRow="0" w:firstColumn="1" w:lastColumn="0" w:noHBand="0" w:noVBand="1"/>
        <w:tblCaption w:val="Statement of Truth"/>
        <w:tblDescription w:val="Table listing firm, name of individual, and title"/>
      </w:tblPr>
      <w:tblGrid>
        <w:gridCol w:w="6343"/>
        <w:gridCol w:w="4272"/>
      </w:tblGrid>
      <w:tr w:rsidR="00E14705" w:rsidRPr="00E14705" w14:paraId="79533A96" w14:textId="77777777" w:rsidTr="003970AD">
        <w:trPr>
          <w:trHeight w:val="288"/>
        </w:trPr>
        <w:tc>
          <w:tcPr>
            <w:tcW w:w="10615"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D7A5673" w14:textId="77777777" w:rsidR="00E14705" w:rsidRPr="00C312EC" w:rsidRDefault="00E14705" w:rsidP="00243B83">
            <w:pPr>
              <w:ind w:left="0"/>
              <w:rPr>
                <w:sz w:val="22"/>
                <w:szCs w:val="22"/>
              </w:rPr>
            </w:pPr>
            <w:r w:rsidRPr="00C312EC">
              <w:rPr>
                <w:sz w:val="22"/>
                <w:szCs w:val="22"/>
              </w:rPr>
              <w:t>Firm</w:t>
            </w:r>
          </w:p>
        </w:tc>
      </w:tr>
      <w:tr w:rsidR="00E14705" w:rsidRPr="00E14705" w14:paraId="3600B273" w14:textId="77777777" w:rsidTr="003970AD">
        <w:trPr>
          <w:trHeight w:val="288"/>
        </w:trPr>
        <w:tc>
          <w:tcPr>
            <w:tcW w:w="10615" w:type="dxa"/>
            <w:gridSpan w:val="2"/>
            <w:tcBorders>
              <w:top w:val="nil"/>
              <w:left w:val="single" w:sz="4" w:space="0" w:color="auto"/>
              <w:bottom w:val="nil"/>
              <w:right w:val="single" w:sz="4" w:space="0" w:color="000000"/>
            </w:tcBorders>
            <w:shd w:val="clear" w:color="000000" w:fill="D9D9D9"/>
            <w:noWrap/>
            <w:vAlign w:val="bottom"/>
            <w:hideMark/>
          </w:tcPr>
          <w:p w14:paraId="08FB9145" w14:textId="77777777" w:rsidR="00E14705" w:rsidRPr="00E14705" w:rsidRDefault="00E14705" w:rsidP="00243B83">
            <w:pPr>
              <w:ind w:left="0"/>
            </w:pPr>
            <w:r w:rsidRPr="00E14705">
              <w:t> </w:t>
            </w:r>
          </w:p>
        </w:tc>
      </w:tr>
      <w:tr w:rsidR="00E14705" w:rsidRPr="00E14705" w14:paraId="20E72773" w14:textId="77777777" w:rsidTr="003970AD">
        <w:trPr>
          <w:trHeight w:val="288"/>
        </w:trPr>
        <w:tc>
          <w:tcPr>
            <w:tcW w:w="10615" w:type="dxa"/>
            <w:gridSpan w:val="2"/>
            <w:tcBorders>
              <w:top w:val="nil"/>
              <w:left w:val="single" w:sz="4" w:space="0" w:color="auto"/>
              <w:bottom w:val="nil"/>
              <w:right w:val="single" w:sz="4" w:space="0" w:color="000000"/>
            </w:tcBorders>
            <w:shd w:val="clear" w:color="000000" w:fill="FFFFFF"/>
            <w:noWrap/>
            <w:vAlign w:val="bottom"/>
            <w:hideMark/>
          </w:tcPr>
          <w:p w14:paraId="53CAA9F6" w14:textId="77777777" w:rsidR="00E14705" w:rsidRPr="00C312EC" w:rsidRDefault="00E14705" w:rsidP="00243B83">
            <w:pPr>
              <w:ind w:left="0"/>
              <w:rPr>
                <w:sz w:val="22"/>
                <w:szCs w:val="22"/>
              </w:rPr>
            </w:pPr>
            <w:r w:rsidRPr="00C312EC">
              <w:rPr>
                <w:sz w:val="22"/>
                <w:szCs w:val="22"/>
              </w:rPr>
              <w:t>Print Name</w:t>
            </w:r>
          </w:p>
        </w:tc>
      </w:tr>
      <w:tr w:rsidR="00E14705" w:rsidRPr="00E14705" w14:paraId="7CE9DF15" w14:textId="77777777" w:rsidTr="003970AD">
        <w:trPr>
          <w:trHeight w:val="288"/>
        </w:trPr>
        <w:tc>
          <w:tcPr>
            <w:tcW w:w="10615" w:type="dxa"/>
            <w:gridSpan w:val="2"/>
            <w:tcBorders>
              <w:top w:val="nil"/>
              <w:left w:val="single" w:sz="4" w:space="0" w:color="auto"/>
              <w:bottom w:val="nil"/>
              <w:right w:val="single" w:sz="4" w:space="0" w:color="000000"/>
            </w:tcBorders>
            <w:shd w:val="clear" w:color="000000" w:fill="D9D9D9"/>
            <w:noWrap/>
            <w:vAlign w:val="bottom"/>
            <w:hideMark/>
          </w:tcPr>
          <w:p w14:paraId="5EE11B86" w14:textId="77777777" w:rsidR="00E14705" w:rsidRPr="00E14705" w:rsidRDefault="00E14705" w:rsidP="00243B83">
            <w:pPr>
              <w:ind w:left="0"/>
            </w:pPr>
            <w:r w:rsidRPr="00E14705">
              <w:t> </w:t>
            </w:r>
          </w:p>
        </w:tc>
      </w:tr>
      <w:tr w:rsidR="00E14705" w:rsidRPr="00E14705" w14:paraId="74B9DA77" w14:textId="77777777" w:rsidTr="003970AD">
        <w:trPr>
          <w:trHeight w:val="288"/>
        </w:trPr>
        <w:tc>
          <w:tcPr>
            <w:tcW w:w="10615" w:type="dxa"/>
            <w:gridSpan w:val="2"/>
            <w:tcBorders>
              <w:top w:val="nil"/>
              <w:left w:val="single" w:sz="4" w:space="0" w:color="auto"/>
              <w:bottom w:val="nil"/>
              <w:right w:val="single" w:sz="4" w:space="0" w:color="000000"/>
            </w:tcBorders>
            <w:shd w:val="clear" w:color="000000" w:fill="FFFFFF"/>
            <w:noWrap/>
            <w:vAlign w:val="bottom"/>
            <w:hideMark/>
          </w:tcPr>
          <w:p w14:paraId="33202F0D" w14:textId="77777777" w:rsidR="00E14705" w:rsidRPr="00C312EC" w:rsidRDefault="00E14705" w:rsidP="00243B83">
            <w:pPr>
              <w:ind w:left="0"/>
              <w:rPr>
                <w:sz w:val="22"/>
                <w:szCs w:val="22"/>
              </w:rPr>
            </w:pPr>
            <w:r w:rsidRPr="00C312EC">
              <w:rPr>
                <w:sz w:val="22"/>
                <w:szCs w:val="22"/>
              </w:rPr>
              <w:t>Title</w:t>
            </w:r>
          </w:p>
        </w:tc>
      </w:tr>
      <w:tr w:rsidR="00E14705" w:rsidRPr="00E14705" w14:paraId="078E4486" w14:textId="77777777" w:rsidTr="003970AD">
        <w:trPr>
          <w:trHeight w:val="288"/>
        </w:trPr>
        <w:tc>
          <w:tcPr>
            <w:tcW w:w="10615" w:type="dxa"/>
            <w:gridSpan w:val="2"/>
            <w:tcBorders>
              <w:top w:val="nil"/>
              <w:left w:val="single" w:sz="4" w:space="0" w:color="auto"/>
              <w:bottom w:val="single" w:sz="4" w:space="0" w:color="auto"/>
              <w:right w:val="single" w:sz="4" w:space="0" w:color="000000"/>
            </w:tcBorders>
            <w:shd w:val="clear" w:color="000000" w:fill="D9D9D9"/>
            <w:noWrap/>
            <w:vAlign w:val="bottom"/>
            <w:hideMark/>
          </w:tcPr>
          <w:p w14:paraId="18FEF1C8" w14:textId="77777777" w:rsidR="00E14705" w:rsidRPr="00E14705" w:rsidRDefault="00E14705" w:rsidP="00243B83">
            <w:pPr>
              <w:ind w:left="0"/>
            </w:pPr>
            <w:r w:rsidRPr="00E14705">
              <w:t> </w:t>
            </w:r>
          </w:p>
        </w:tc>
      </w:tr>
      <w:tr w:rsidR="00E14705" w:rsidRPr="00E14705" w14:paraId="08DA61F4" w14:textId="77777777" w:rsidTr="003970AD">
        <w:trPr>
          <w:trHeight w:val="288"/>
        </w:trPr>
        <w:tc>
          <w:tcPr>
            <w:tcW w:w="10615" w:type="dxa"/>
            <w:gridSpan w:val="2"/>
            <w:tcBorders>
              <w:top w:val="nil"/>
              <w:left w:val="nil"/>
              <w:bottom w:val="nil"/>
              <w:right w:val="nil"/>
            </w:tcBorders>
            <w:shd w:val="clear" w:color="000000" w:fill="FFFFFF"/>
            <w:noWrap/>
            <w:vAlign w:val="bottom"/>
            <w:hideMark/>
          </w:tcPr>
          <w:p w14:paraId="77E78B5D" w14:textId="77777777" w:rsidR="00E14705" w:rsidRPr="00E14705" w:rsidRDefault="00E14705" w:rsidP="00243B83">
            <w:pPr>
              <w:ind w:left="0"/>
            </w:pPr>
            <w:r w:rsidRPr="00E14705">
              <w:t> </w:t>
            </w:r>
          </w:p>
        </w:tc>
      </w:tr>
      <w:tr w:rsidR="00E14705" w:rsidRPr="00E14705" w14:paraId="3015F527" w14:textId="77777777" w:rsidTr="003970AD">
        <w:trPr>
          <w:trHeight w:val="288"/>
        </w:trPr>
        <w:tc>
          <w:tcPr>
            <w:tcW w:w="6343" w:type="dxa"/>
            <w:tcBorders>
              <w:top w:val="single" w:sz="4" w:space="0" w:color="auto"/>
              <w:left w:val="single" w:sz="4" w:space="0" w:color="auto"/>
              <w:bottom w:val="nil"/>
              <w:right w:val="single" w:sz="4" w:space="0" w:color="auto"/>
            </w:tcBorders>
            <w:shd w:val="clear" w:color="000000" w:fill="FFFFFF"/>
            <w:noWrap/>
            <w:vAlign w:val="bottom"/>
            <w:hideMark/>
          </w:tcPr>
          <w:p w14:paraId="3CEC8829" w14:textId="77777777" w:rsidR="00E14705" w:rsidRPr="00C312EC" w:rsidRDefault="00E14705" w:rsidP="00243B83">
            <w:pPr>
              <w:ind w:left="0"/>
              <w:rPr>
                <w:sz w:val="22"/>
                <w:szCs w:val="22"/>
              </w:rPr>
            </w:pPr>
            <w:r w:rsidRPr="00C312EC">
              <w:rPr>
                <w:sz w:val="22"/>
                <w:szCs w:val="22"/>
              </w:rPr>
              <w:t>Signature</w:t>
            </w:r>
          </w:p>
        </w:tc>
        <w:tc>
          <w:tcPr>
            <w:tcW w:w="4272" w:type="dxa"/>
            <w:tcBorders>
              <w:top w:val="single" w:sz="4" w:space="0" w:color="auto"/>
              <w:left w:val="nil"/>
              <w:bottom w:val="nil"/>
              <w:right w:val="single" w:sz="4" w:space="0" w:color="auto"/>
            </w:tcBorders>
            <w:shd w:val="clear" w:color="000000" w:fill="FFFFFF"/>
            <w:noWrap/>
            <w:vAlign w:val="bottom"/>
            <w:hideMark/>
          </w:tcPr>
          <w:p w14:paraId="5930616A" w14:textId="77777777" w:rsidR="00E14705" w:rsidRPr="00C312EC" w:rsidRDefault="00E14705" w:rsidP="00243B83">
            <w:pPr>
              <w:ind w:left="0"/>
              <w:rPr>
                <w:sz w:val="22"/>
                <w:szCs w:val="22"/>
              </w:rPr>
            </w:pPr>
            <w:r w:rsidRPr="00C312EC">
              <w:rPr>
                <w:sz w:val="22"/>
                <w:szCs w:val="22"/>
              </w:rPr>
              <w:t>Date</w:t>
            </w:r>
          </w:p>
        </w:tc>
      </w:tr>
      <w:tr w:rsidR="00E14705" w:rsidRPr="00E14705" w14:paraId="691216FB" w14:textId="77777777" w:rsidTr="003970AD">
        <w:trPr>
          <w:trHeight w:val="600"/>
        </w:trPr>
        <w:tc>
          <w:tcPr>
            <w:tcW w:w="6343" w:type="dxa"/>
            <w:tcBorders>
              <w:top w:val="nil"/>
              <w:left w:val="single" w:sz="4" w:space="0" w:color="auto"/>
              <w:bottom w:val="single" w:sz="4" w:space="0" w:color="auto"/>
              <w:right w:val="single" w:sz="4" w:space="0" w:color="auto"/>
            </w:tcBorders>
            <w:shd w:val="clear" w:color="000000" w:fill="D9D9D9"/>
            <w:noWrap/>
            <w:vAlign w:val="bottom"/>
            <w:hideMark/>
          </w:tcPr>
          <w:p w14:paraId="556AA43F" w14:textId="77777777" w:rsidR="00E14705" w:rsidRPr="00E14705" w:rsidRDefault="00E14705" w:rsidP="00243B83">
            <w:pPr>
              <w:ind w:left="0"/>
            </w:pPr>
            <w:r w:rsidRPr="00E14705">
              <w:t> </w:t>
            </w:r>
          </w:p>
        </w:tc>
        <w:tc>
          <w:tcPr>
            <w:tcW w:w="4272" w:type="dxa"/>
            <w:tcBorders>
              <w:top w:val="nil"/>
              <w:left w:val="nil"/>
              <w:bottom w:val="single" w:sz="4" w:space="0" w:color="auto"/>
              <w:right w:val="single" w:sz="4" w:space="0" w:color="auto"/>
            </w:tcBorders>
            <w:shd w:val="clear" w:color="000000" w:fill="D9D9D9"/>
            <w:noWrap/>
            <w:vAlign w:val="bottom"/>
            <w:hideMark/>
          </w:tcPr>
          <w:p w14:paraId="772BDEDF" w14:textId="77777777" w:rsidR="00E14705" w:rsidRPr="00E14705" w:rsidRDefault="00E14705" w:rsidP="00243B83">
            <w:pPr>
              <w:ind w:left="0"/>
            </w:pPr>
            <w:r w:rsidRPr="00E14705">
              <w:t> </w:t>
            </w:r>
          </w:p>
        </w:tc>
      </w:tr>
    </w:tbl>
    <w:p w14:paraId="108001BD" w14:textId="77777777" w:rsidR="00D539C5" w:rsidRPr="00B43B19" w:rsidRDefault="00D539C5" w:rsidP="00243B83">
      <w:pPr>
        <w:ind w:left="0"/>
      </w:pPr>
    </w:p>
    <w:tbl>
      <w:tblPr>
        <w:tblW w:w="10615" w:type="dxa"/>
        <w:tblLook w:val="04A0" w:firstRow="1" w:lastRow="0" w:firstColumn="1" w:lastColumn="0" w:noHBand="0" w:noVBand="1"/>
        <w:tblCaption w:val="DBE Verification"/>
        <w:tblDescription w:val="Table asking if a firm is a DBE or not"/>
      </w:tblPr>
      <w:tblGrid>
        <w:gridCol w:w="4495"/>
        <w:gridCol w:w="271"/>
        <w:gridCol w:w="271"/>
        <w:gridCol w:w="580"/>
        <w:gridCol w:w="271"/>
        <w:gridCol w:w="280"/>
        <w:gridCol w:w="680"/>
        <w:gridCol w:w="3767"/>
      </w:tblGrid>
      <w:tr w:rsidR="00105869" w:rsidRPr="00105869" w14:paraId="53A96C1F" w14:textId="77777777" w:rsidTr="003970AD">
        <w:trPr>
          <w:trHeight w:val="72"/>
        </w:trPr>
        <w:tc>
          <w:tcPr>
            <w:tcW w:w="4495" w:type="dxa"/>
            <w:tcBorders>
              <w:top w:val="single" w:sz="4" w:space="0" w:color="auto"/>
              <w:left w:val="single" w:sz="4" w:space="0" w:color="auto"/>
              <w:bottom w:val="nil"/>
              <w:right w:val="nil"/>
            </w:tcBorders>
            <w:shd w:val="clear" w:color="000000" w:fill="FFFFFF"/>
            <w:noWrap/>
            <w:vAlign w:val="bottom"/>
            <w:hideMark/>
          </w:tcPr>
          <w:p w14:paraId="78F9C5E2" w14:textId="77777777" w:rsidR="00105869" w:rsidRPr="00105869" w:rsidRDefault="00105869" w:rsidP="00243B83">
            <w:pPr>
              <w:ind w:left="0"/>
            </w:pPr>
            <w:r w:rsidRPr="00105869">
              <w:t> </w:t>
            </w:r>
          </w:p>
        </w:tc>
        <w:tc>
          <w:tcPr>
            <w:tcW w:w="271" w:type="dxa"/>
            <w:tcBorders>
              <w:top w:val="single" w:sz="4" w:space="0" w:color="auto"/>
              <w:left w:val="nil"/>
              <w:bottom w:val="nil"/>
              <w:right w:val="nil"/>
            </w:tcBorders>
            <w:shd w:val="clear" w:color="000000" w:fill="FFFFFF"/>
            <w:noWrap/>
            <w:vAlign w:val="bottom"/>
            <w:hideMark/>
          </w:tcPr>
          <w:p w14:paraId="21296245" w14:textId="77777777" w:rsidR="00105869" w:rsidRPr="00105869" w:rsidRDefault="00105869" w:rsidP="00243B83">
            <w:pPr>
              <w:ind w:left="0"/>
            </w:pPr>
            <w:r w:rsidRPr="00105869">
              <w:t> </w:t>
            </w:r>
          </w:p>
        </w:tc>
        <w:tc>
          <w:tcPr>
            <w:tcW w:w="271" w:type="dxa"/>
            <w:tcBorders>
              <w:top w:val="single" w:sz="4" w:space="0" w:color="auto"/>
              <w:left w:val="nil"/>
              <w:bottom w:val="nil"/>
              <w:right w:val="nil"/>
            </w:tcBorders>
            <w:shd w:val="clear" w:color="000000" w:fill="FFFFFF"/>
            <w:noWrap/>
            <w:vAlign w:val="bottom"/>
            <w:hideMark/>
          </w:tcPr>
          <w:p w14:paraId="4BABAB96" w14:textId="77777777" w:rsidR="00105869" w:rsidRPr="00105869" w:rsidRDefault="00105869" w:rsidP="00243B83">
            <w:pPr>
              <w:ind w:left="0"/>
            </w:pPr>
            <w:r w:rsidRPr="00105869">
              <w:t> </w:t>
            </w:r>
          </w:p>
        </w:tc>
        <w:tc>
          <w:tcPr>
            <w:tcW w:w="580" w:type="dxa"/>
            <w:tcBorders>
              <w:top w:val="single" w:sz="4" w:space="0" w:color="auto"/>
              <w:left w:val="nil"/>
              <w:bottom w:val="nil"/>
              <w:right w:val="nil"/>
            </w:tcBorders>
            <w:shd w:val="clear" w:color="000000" w:fill="FFFFFF"/>
            <w:noWrap/>
            <w:vAlign w:val="bottom"/>
            <w:hideMark/>
          </w:tcPr>
          <w:p w14:paraId="13E26E04" w14:textId="77777777" w:rsidR="00105869" w:rsidRPr="00105869" w:rsidRDefault="00105869" w:rsidP="00243B83">
            <w:pPr>
              <w:ind w:left="0"/>
            </w:pPr>
            <w:r w:rsidRPr="00105869">
              <w:t> </w:t>
            </w:r>
          </w:p>
        </w:tc>
        <w:tc>
          <w:tcPr>
            <w:tcW w:w="271" w:type="dxa"/>
            <w:tcBorders>
              <w:top w:val="single" w:sz="4" w:space="0" w:color="auto"/>
              <w:left w:val="nil"/>
              <w:bottom w:val="nil"/>
              <w:right w:val="nil"/>
            </w:tcBorders>
            <w:shd w:val="clear" w:color="000000" w:fill="FFFFFF"/>
            <w:noWrap/>
            <w:vAlign w:val="bottom"/>
            <w:hideMark/>
          </w:tcPr>
          <w:p w14:paraId="70A33EBB" w14:textId="77777777" w:rsidR="00105869" w:rsidRPr="00105869" w:rsidRDefault="00105869" w:rsidP="00243B83">
            <w:pPr>
              <w:ind w:left="0"/>
            </w:pPr>
            <w:r w:rsidRPr="00105869">
              <w:t> </w:t>
            </w:r>
          </w:p>
        </w:tc>
        <w:tc>
          <w:tcPr>
            <w:tcW w:w="280" w:type="dxa"/>
            <w:tcBorders>
              <w:top w:val="single" w:sz="4" w:space="0" w:color="auto"/>
              <w:left w:val="nil"/>
              <w:bottom w:val="nil"/>
              <w:right w:val="nil"/>
            </w:tcBorders>
            <w:shd w:val="clear" w:color="000000" w:fill="FFFFFF"/>
            <w:noWrap/>
            <w:vAlign w:val="bottom"/>
            <w:hideMark/>
          </w:tcPr>
          <w:p w14:paraId="41AA7D60" w14:textId="77777777" w:rsidR="00105869" w:rsidRPr="00105869" w:rsidRDefault="00105869" w:rsidP="00243B83">
            <w:pPr>
              <w:ind w:left="0"/>
            </w:pPr>
            <w:r w:rsidRPr="00105869">
              <w:t> </w:t>
            </w:r>
          </w:p>
        </w:tc>
        <w:tc>
          <w:tcPr>
            <w:tcW w:w="680" w:type="dxa"/>
            <w:tcBorders>
              <w:top w:val="single" w:sz="4" w:space="0" w:color="auto"/>
              <w:left w:val="nil"/>
              <w:bottom w:val="nil"/>
              <w:right w:val="nil"/>
            </w:tcBorders>
            <w:shd w:val="clear" w:color="000000" w:fill="FFFFFF"/>
            <w:noWrap/>
            <w:vAlign w:val="bottom"/>
            <w:hideMark/>
          </w:tcPr>
          <w:p w14:paraId="4498A604" w14:textId="77777777" w:rsidR="00105869" w:rsidRPr="00105869" w:rsidRDefault="00105869" w:rsidP="00243B83">
            <w:pPr>
              <w:ind w:left="0"/>
            </w:pPr>
            <w:r w:rsidRPr="00105869">
              <w:t> </w:t>
            </w:r>
          </w:p>
        </w:tc>
        <w:tc>
          <w:tcPr>
            <w:tcW w:w="3767" w:type="dxa"/>
            <w:tcBorders>
              <w:top w:val="single" w:sz="4" w:space="0" w:color="auto"/>
              <w:left w:val="nil"/>
              <w:bottom w:val="nil"/>
              <w:right w:val="single" w:sz="4" w:space="0" w:color="auto"/>
            </w:tcBorders>
            <w:shd w:val="clear" w:color="000000" w:fill="FFFFFF"/>
            <w:noWrap/>
            <w:vAlign w:val="bottom"/>
            <w:hideMark/>
          </w:tcPr>
          <w:p w14:paraId="2F25AEA3" w14:textId="77777777" w:rsidR="00105869" w:rsidRPr="00105869" w:rsidRDefault="00105869" w:rsidP="00243B83">
            <w:pPr>
              <w:ind w:left="0"/>
            </w:pPr>
            <w:r w:rsidRPr="00105869">
              <w:t> </w:t>
            </w:r>
          </w:p>
        </w:tc>
      </w:tr>
      <w:tr w:rsidR="00105869" w:rsidRPr="00105869" w14:paraId="38769AF6" w14:textId="77777777" w:rsidTr="00C312EC">
        <w:trPr>
          <w:trHeight w:val="134"/>
        </w:trPr>
        <w:tc>
          <w:tcPr>
            <w:tcW w:w="4495" w:type="dxa"/>
            <w:tcBorders>
              <w:top w:val="nil"/>
              <w:left w:val="single" w:sz="4" w:space="0" w:color="auto"/>
              <w:bottom w:val="nil"/>
              <w:right w:val="nil"/>
            </w:tcBorders>
            <w:shd w:val="clear" w:color="000000" w:fill="FFFFFF"/>
            <w:noWrap/>
            <w:vAlign w:val="bottom"/>
            <w:hideMark/>
          </w:tcPr>
          <w:p w14:paraId="25A5B0FD" w14:textId="77777777" w:rsidR="00105869" w:rsidRPr="00C312EC" w:rsidRDefault="00105869" w:rsidP="00243B83">
            <w:pPr>
              <w:ind w:left="0"/>
              <w:rPr>
                <w:sz w:val="22"/>
                <w:szCs w:val="22"/>
              </w:rPr>
            </w:pPr>
            <w:r w:rsidRPr="00C312EC">
              <w:rPr>
                <w:sz w:val="22"/>
                <w:szCs w:val="22"/>
              </w:rPr>
              <w:t>Is Firm Currently NDDOT Certified as a DBE?</w:t>
            </w:r>
          </w:p>
        </w:tc>
        <w:tc>
          <w:tcPr>
            <w:tcW w:w="271" w:type="dxa"/>
            <w:tcBorders>
              <w:top w:val="nil"/>
              <w:left w:val="nil"/>
              <w:bottom w:val="nil"/>
              <w:right w:val="nil"/>
            </w:tcBorders>
            <w:shd w:val="clear" w:color="000000" w:fill="FFFFFF"/>
            <w:noWrap/>
            <w:vAlign w:val="bottom"/>
            <w:hideMark/>
          </w:tcPr>
          <w:p w14:paraId="60839793" w14:textId="77777777" w:rsidR="00105869" w:rsidRPr="00105869" w:rsidRDefault="00105869" w:rsidP="00243B83">
            <w:pPr>
              <w:ind w:left="0"/>
            </w:pPr>
            <w:r w:rsidRPr="00105869">
              <w:t> </w:t>
            </w:r>
          </w:p>
        </w:tc>
        <w:tc>
          <w:tcPr>
            <w:tcW w:w="2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5ACF0D" w14:textId="77777777" w:rsidR="00105869" w:rsidRPr="00105869" w:rsidRDefault="00105869" w:rsidP="00243B83">
            <w:pPr>
              <w:ind w:left="0"/>
            </w:pPr>
            <w:r w:rsidRPr="00105869">
              <w:t> </w:t>
            </w:r>
          </w:p>
        </w:tc>
        <w:tc>
          <w:tcPr>
            <w:tcW w:w="580" w:type="dxa"/>
            <w:tcBorders>
              <w:top w:val="nil"/>
              <w:left w:val="nil"/>
              <w:bottom w:val="nil"/>
              <w:right w:val="nil"/>
            </w:tcBorders>
            <w:shd w:val="clear" w:color="000000" w:fill="FFFFFF"/>
            <w:noWrap/>
            <w:vAlign w:val="bottom"/>
            <w:hideMark/>
          </w:tcPr>
          <w:p w14:paraId="3DC5E7BC" w14:textId="77777777" w:rsidR="00105869" w:rsidRPr="00C312EC" w:rsidRDefault="00105869" w:rsidP="00243B83">
            <w:pPr>
              <w:ind w:left="0"/>
              <w:rPr>
                <w:sz w:val="22"/>
                <w:szCs w:val="22"/>
              </w:rPr>
            </w:pPr>
            <w:r w:rsidRPr="00C312EC">
              <w:rPr>
                <w:sz w:val="22"/>
                <w:szCs w:val="22"/>
              </w:rPr>
              <w:t>Yes</w:t>
            </w:r>
          </w:p>
        </w:tc>
        <w:tc>
          <w:tcPr>
            <w:tcW w:w="271" w:type="dxa"/>
            <w:tcBorders>
              <w:top w:val="nil"/>
              <w:left w:val="nil"/>
              <w:bottom w:val="nil"/>
              <w:right w:val="nil"/>
            </w:tcBorders>
            <w:shd w:val="clear" w:color="000000" w:fill="FFFFFF"/>
            <w:noWrap/>
            <w:vAlign w:val="bottom"/>
            <w:hideMark/>
          </w:tcPr>
          <w:p w14:paraId="6C57F21C" w14:textId="77777777" w:rsidR="00105869" w:rsidRPr="00105869" w:rsidRDefault="00105869" w:rsidP="00243B83">
            <w:pPr>
              <w:ind w:left="0"/>
            </w:pPr>
            <w:r w:rsidRPr="00105869">
              <w:t> </w:t>
            </w:r>
          </w:p>
        </w:tc>
        <w:tc>
          <w:tcPr>
            <w:tcW w:w="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4EFFBB6" w14:textId="77777777" w:rsidR="00105869" w:rsidRPr="00105869" w:rsidRDefault="00105869" w:rsidP="00243B83">
            <w:pPr>
              <w:ind w:left="0"/>
            </w:pPr>
            <w:r w:rsidRPr="00105869">
              <w:t> </w:t>
            </w:r>
          </w:p>
        </w:tc>
        <w:tc>
          <w:tcPr>
            <w:tcW w:w="680" w:type="dxa"/>
            <w:tcBorders>
              <w:top w:val="nil"/>
              <w:left w:val="nil"/>
              <w:bottom w:val="nil"/>
              <w:right w:val="nil"/>
            </w:tcBorders>
            <w:shd w:val="clear" w:color="000000" w:fill="FFFFFF"/>
            <w:noWrap/>
            <w:vAlign w:val="bottom"/>
            <w:hideMark/>
          </w:tcPr>
          <w:p w14:paraId="05981903" w14:textId="77777777" w:rsidR="00105869" w:rsidRPr="00C312EC" w:rsidRDefault="00105869" w:rsidP="00243B83">
            <w:pPr>
              <w:ind w:left="0"/>
              <w:rPr>
                <w:sz w:val="22"/>
                <w:szCs w:val="22"/>
              </w:rPr>
            </w:pPr>
            <w:r w:rsidRPr="00C312EC">
              <w:rPr>
                <w:sz w:val="22"/>
                <w:szCs w:val="22"/>
              </w:rPr>
              <w:t>No</w:t>
            </w:r>
          </w:p>
        </w:tc>
        <w:tc>
          <w:tcPr>
            <w:tcW w:w="3767" w:type="dxa"/>
            <w:tcBorders>
              <w:top w:val="nil"/>
              <w:left w:val="nil"/>
              <w:bottom w:val="nil"/>
              <w:right w:val="single" w:sz="4" w:space="0" w:color="auto"/>
            </w:tcBorders>
            <w:shd w:val="clear" w:color="000000" w:fill="FFFFFF"/>
            <w:noWrap/>
            <w:vAlign w:val="bottom"/>
            <w:hideMark/>
          </w:tcPr>
          <w:p w14:paraId="37043BCB" w14:textId="77777777" w:rsidR="00105869" w:rsidRPr="00105869" w:rsidRDefault="00105869" w:rsidP="00243B83">
            <w:pPr>
              <w:ind w:left="0"/>
            </w:pPr>
            <w:r w:rsidRPr="00105869">
              <w:t> </w:t>
            </w:r>
          </w:p>
        </w:tc>
      </w:tr>
      <w:tr w:rsidR="00105869" w:rsidRPr="00105869" w14:paraId="5AE2D138" w14:textId="77777777" w:rsidTr="00C312EC">
        <w:trPr>
          <w:trHeight w:val="98"/>
        </w:trPr>
        <w:tc>
          <w:tcPr>
            <w:tcW w:w="4495" w:type="dxa"/>
            <w:tcBorders>
              <w:top w:val="nil"/>
              <w:left w:val="single" w:sz="4" w:space="0" w:color="auto"/>
              <w:bottom w:val="single" w:sz="4" w:space="0" w:color="auto"/>
              <w:right w:val="nil"/>
            </w:tcBorders>
            <w:shd w:val="clear" w:color="000000" w:fill="FFFFFF"/>
            <w:noWrap/>
            <w:vAlign w:val="bottom"/>
            <w:hideMark/>
          </w:tcPr>
          <w:p w14:paraId="39239C65" w14:textId="77777777" w:rsidR="00105869" w:rsidRPr="00105869" w:rsidRDefault="00105869" w:rsidP="00243B83">
            <w:pPr>
              <w:ind w:left="0"/>
            </w:pPr>
            <w:r w:rsidRPr="00105869">
              <w:t> </w:t>
            </w:r>
          </w:p>
        </w:tc>
        <w:tc>
          <w:tcPr>
            <w:tcW w:w="271" w:type="dxa"/>
            <w:tcBorders>
              <w:top w:val="nil"/>
              <w:left w:val="nil"/>
              <w:bottom w:val="single" w:sz="4" w:space="0" w:color="auto"/>
              <w:right w:val="nil"/>
            </w:tcBorders>
            <w:shd w:val="clear" w:color="000000" w:fill="FFFFFF"/>
            <w:noWrap/>
            <w:vAlign w:val="bottom"/>
            <w:hideMark/>
          </w:tcPr>
          <w:p w14:paraId="26339E0B" w14:textId="77777777" w:rsidR="00105869" w:rsidRPr="00105869" w:rsidRDefault="00105869" w:rsidP="00243B83">
            <w:pPr>
              <w:ind w:left="0"/>
            </w:pPr>
            <w:r w:rsidRPr="00105869">
              <w:t> </w:t>
            </w:r>
          </w:p>
        </w:tc>
        <w:tc>
          <w:tcPr>
            <w:tcW w:w="271" w:type="dxa"/>
            <w:tcBorders>
              <w:top w:val="nil"/>
              <w:left w:val="nil"/>
              <w:bottom w:val="single" w:sz="4" w:space="0" w:color="auto"/>
              <w:right w:val="nil"/>
            </w:tcBorders>
            <w:shd w:val="clear" w:color="000000" w:fill="FFFFFF"/>
            <w:noWrap/>
            <w:vAlign w:val="bottom"/>
            <w:hideMark/>
          </w:tcPr>
          <w:p w14:paraId="2542CD30" w14:textId="77777777" w:rsidR="00105869" w:rsidRPr="00105869" w:rsidRDefault="00105869" w:rsidP="00243B83">
            <w:pPr>
              <w:ind w:left="0"/>
            </w:pPr>
            <w:r w:rsidRPr="00105869">
              <w:t> </w:t>
            </w:r>
          </w:p>
        </w:tc>
        <w:tc>
          <w:tcPr>
            <w:tcW w:w="580" w:type="dxa"/>
            <w:tcBorders>
              <w:top w:val="nil"/>
              <w:left w:val="nil"/>
              <w:bottom w:val="single" w:sz="4" w:space="0" w:color="auto"/>
              <w:right w:val="nil"/>
            </w:tcBorders>
            <w:shd w:val="clear" w:color="000000" w:fill="FFFFFF"/>
            <w:noWrap/>
            <w:vAlign w:val="bottom"/>
            <w:hideMark/>
          </w:tcPr>
          <w:p w14:paraId="0EC65EF7" w14:textId="77777777" w:rsidR="00105869" w:rsidRPr="00105869" w:rsidRDefault="00105869" w:rsidP="00243B83">
            <w:pPr>
              <w:ind w:left="0"/>
            </w:pPr>
            <w:r w:rsidRPr="00105869">
              <w:t> </w:t>
            </w:r>
          </w:p>
        </w:tc>
        <w:tc>
          <w:tcPr>
            <w:tcW w:w="271" w:type="dxa"/>
            <w:tcBorders>
              <w:top w:val="nil"/>
              <w:left w:val="nil"/>
              <w:bottom w:val="single" w:sz="4" w:space="0" w:color="auto"/>
              <w:right w:val="nil"/>
            </w:tcBorders>
            <w:shd w:val="clear" w:color="000000" w:fill="FFFFFF"/>
            <w:noWrap/>
            <w:vAlign w:val="bottom"/>
            <w:hideMark/>
          </w:tcPr>
          <w:p w14:paraId="6B35E9DE" w14:textId="77777777" w:rsidR="00105869" w:rsidRPr="00105869" w:rsidRDefault="00105869" w:rsidP="00243B83">
            <w:pPr>
              <w:ind w:left="0"/>
            </w:pPr>
            <w:r w:rsidRPr="00105869">
              <w:t> </w:t>
            </w:r>
          </w:p>
        </w:tc>
        <w:tc>
          <w:tcPr>
            <w:tcW w:w="280" w:type="dxa"/>
            <w:tcBorders>
              <w:top w:val="nil"/>
              <w:left w:val="nil"/>
              <w:bottom w:val="single" w:sz="4" w:space="0" w:color="auto"/>
              <w:right w:val="nil"/>
            </w:tcBorders>
            <w:shd w:val="clear" w:color="000000" w:fill="FFFFFF"/>
            <w:noWrap/>
            <w:vAlign w:val="bottom"/>
            <w:hideMark/>
          </w:tcPr>
          <w:p w14:paraId="0E59D613" w14:textId="77777777" w:rsidR="00105869" w:rsidRPr="00105869" w:rsidRDefault="00105869" w:rsidP="00243B83">
            <w:pPr>
              <w:ind w:left="0"/>
            </w:pPr>
            <w:r w:rsidRPr="00105869">
              <w:t> </w:t>
            </w:r>
          </w:p>
        </w:tc>
        <w:tc>
          <w:tcPr>
            <w:tcW w:w="680" w:type="dxa"/>
            <w:tcBorders>
              <w:top w:val="nil"/>
              <w:left w:val="nil"/>
              <w:bottom w:val="single" w:sz="4" w:space="0" w:color="auto"/>
              <w:right w:val="nil"/>
            </w:tcBorders>
            <w:shd w:val="clear" w:color="000000" w:fill="FFFFFF"/>
            <w:noWrap/>
            <w:vAlign w:val="bottom"/>
            <w:hideMark/>
          </w:tcPr>
          <w:p w14:paraId="27764416" w14:textId="77777777" w:rsidR="00105869" w:rsidRPr="00105869" w:rsidRDefault="00105869" w:rsidP="00243B83">
            <w:pPr>
              <w:ind w:left="0"/>
            </w:pPr>
            <w:r w:rsidRPr="00105869">
              <w:t> </w:t>
            </w:r>
          </w:p>
        </w:tc>
        <w:tc>
          <w:tcPr>
            <w:tcW w:w="3767" w:type="dxa"/>
            <w:tcBorders>
              <w:top w:val="nil"/>
              <w:left w:val="nil"/>
              <w:bottom w:val="single" w:sz="4" w:space="0" w:color="auto"/>
              <w:right w:val="single" w:sz="4" w:space="0" w:color="auto"/>
            </w:tcBorders>
            <w:shd w:val="clear" w:color="000000" w:fill="FFFFFF"/>
            <w:noWrap/>
            <w:vAlign w:val="bottom"/>
            <w:hideMark/>
          </w:tcPr>
          <w:p w14:paraId="7F1EC7C5" w14:textId="77777777" w:rsidR="00105869" w:rsidRPr="00105869" w:rsidRDefault="00105869" w:rsidP="00243B83">
            <w:pPr>
              <w:ind w:left="0"/>
            </w:pPr>
            <w:r w:rsidRPr="00105869">
              <w:t> </w:t>
            </w:r>
          </w:p>
        </w:tc>
      </w:tr>
    </w:tbl>
    <w:p w14:paraId="2F7C1586" w14:textId="77777777" w:rsidR="00AA0784" w:rsidRDefault="00AA0784" w:rsidP="00243B83">
      <w:pPr>
        <w:ind w:left="0"/>
        <w:rPr>
          <w:lang w:bidi="en-US"/>
        </w:rPr>
      </w:pPr>
    </w:p>
    <w:p w14:paraId="6886B0EB" w14:textId="77777777" w:rsidR="00AA0784" w:rsidRDefault="00AA0784" w:rsidP="00243B83">
      <w:pPr>
        <w:ind w:left="0"/>
        <w:rPr>
          <w:lang w:bidi="en-US"/>
        </w:rPr>
      </w:pPr>
      <w:r>
        <w:rPr>
          <w:lang w:bidi="en-US"/>
        </w:rPr>
        <w:br w:type="page"/>
      </w:r>
    </w:p>
    <w:p w14:paraId="74BC7CA0" w14:textId="77777777" w:rsidR="00A86D80" w:rsidRPr="004F4A19" w:rsidRDefault="00546D8C" w:rsidP="004E0C9A">
      <w:pPr>
        <w:ind w:left="0"/>
        <w:rPr>
          <w:b/>
          <w:bCs/>
          <w:sz w:val="22"/>
          <w:szCs w:val="22"/>
          <w:lang w:bidi="en-US"/>
        </w:rPr>
      </w:pPr>
      <w:r w:rsidRPr="004F4A19">
        <w:rPr>
          <w:b/>
          <w:bCs/>
          <w:sz w:val="22"/>
          <w:szCs w:val="22"/>
          <w:lang w:bidi="en-US"/>
        </w:rPr>
        <w:lastRenderedPageBreak/>
        <w:t>Prime Consultant</w:t>
      </w:r>
      <w:r w:rsidR="00A86D80" w:rsidRPr="004F4A19">
        <w:rPr>
          <w:b/>
          <w:bCs/>
          <w:sz w:val="22"/>
          <w:szCs w:val="22"/>
          <w:lang w:bidi="en-US"/>
        </w:rPr>
        <w:t xml:space="preserve"> Request </w:t>
      </w:r>
      <w:proofErr w:type="gramStart"/>
      <w:r w:rsidR="00A86D80" w:rsidRPr="004F4A19">
        <w:rPr>
          <w:b/>
          <w:bCs/>
          <w:sz w:val="22"/>
          <w:szCs w:val="22"/>
          <w:lang w:bidi="en-US"/>
        </w:rPr>
        <w:t>To</w:t>
      </w:r>
      <w:proofErr w:type="gramEnd"/>
      <w:r w:rsidR="00A86D80" w:rsidRPr="004F4A19">
        <w:rPr>
          <w:b/>
          <w:bCs/>
          <w:sz w:val="22"/>
          <w:szCs w:val="22"/>
          <w:lang w:bidi="en-US"/>
        </w:rPr>
        <w:t xml:space="preserve"> Sublet</w:t>
      </w:r>
    </w:p>
    <w:p w14:paraId="2F423DB1" w14:textId="77777777" w:rsidR="0013350B" w:rsidRPr="003B0E6C" w:rsidRDefault="00213C6B" w:rsidP="004E0C9A">
      <w:pPr>
        <w:ind w:left="0"/>
        <w:rPr>
          <w:sz w:val="20"/>
          <w:szCs w:val="20"/>
          <w:lang w:bidi="en-US"/>
        </w:rPr>
      </w:pPr>
      <w:r w:rsidRPr="003B0E6C">
        <w:rPr>
          <w:sz w:val="20"/>
          <w:szCs w:val="20"/>
          <w:lang w:bidi="en-US"/>
        </w:rPr>
        <w:t>North Dakota Department of</w:t>
      </w:r>
      <w:r w:rsidR="0013350B" w:rsidRPr="003B0E6C">
        <w:rPr>
          <w:sz w:val="20"/>
          <w:szCs w:val="20"/>
          <w:lang w:bidi="en-US"/>
        </w:rPr>
        <w:t xml:space="preserve"> Transportation, Environment &amp; Transportation Services</w:t>
      </w:r>
    </w:p>
    <w:p w14:paraId="5E8E78B4" w14:textId="0B1D22A2" w:rsidR="00B22B60" w:rsidRPr="003B0E6C" w:rsidRDefault="0013350B" w:rsidP="004E0C9A">
      <w:pPr>
        <w:ind w:left="0"/>
        <w:rPr>
          <w:sz w:val="20"/>
          <w:szCs w:val="20"/>
          <w:lang w:bidi="en-US"/>
        </w:rPr>
      </w:pPr>
      <w:r w:rsidRPr="003B0E6C">
        <w:rPr>
          <w:sz w:val="20"/>
          <w:szCs w:val="20"/>
          <w:lang w:bidi="en-US"/>
        </w:rPr>
        <w:t>S</w:t>
      </w:r>
      <w:r w:rsidR="00B22B60" w:rsidRPr="003B0E6C">
        <w:rPr>
          <w:sz w:val="20"/>
          <w:szCs w:val="20"/>
          <w:lang w:bidi="en-US"/>
        </w:rPr>
        <w:t>FN 60233</w:t>
      </w:r>
      <w:r w:rsidR="0033315C" w:rsidRPr="003B0E6C">
        <w:rPr>
          <w:sz w:val="20"/>
          <w:szCs w:val="20"/>
          <w:lang w:bidi="en-US"/>
        </w:rPr>
        <w:t xml:space="preserve"> (</w:t>
      </w:r>
      <w:r w:rsidR="00A97610" w:rsidRPr="003B0E6C">
        <w:rPr>
          <w:sz w:val="20"/>
          <w:szCs w:val="20"/>
          <w:lang w:bidi="en-US"/>
        </w:rPr>
        <w:t>9-2016)</w:t>
      </w:r>
    </w:p>
    <w:p w14:paraId="571CBF0D" w14:textId="77777777" w:rsidR="00B22B60" w:rsidRDefault="00B22B60" w:rsidP="004E0C9A">
      <w:pPr>
        <w:ind w:left="0"/>
        <w:rPr>
          <w:lang w:bidi="en-US"/>
        </w:rPr>
      </w:pPr>
    </w:p>
    <w:tbl>
      <w:tblPr>
        <w:tblW w:w="10255" w:type="dxa"/>
        <w:tblLook w:val="04A0" w:firstRow="1" w:lastRow="0" w:firstColumn="1" w:lastColumn="0" w:noHBand="0" w:noVBand="1"/>
        <w:tblCaption w:val="Prime Consultant Contact Information"/>
        <w:tblDescription w:val="Table requesting specific contact information for the Prime Consultant"/>
      </w:tblPr>
      <w:tblGrid>
        <w:gridCol w:w="2780"/>
        <w:gridCol w:w="1985"/>
        <w:gridCol w:w="5490"/>
      </w:tblGrid>
      <w:tr w:rsidR="00356486" w:rsidRPr="00356486" w14:paraId="2DA8DA60" w14:textId="77777777" w:rsidTr="00356486">
        <w:trPr>
          <w:trHeight w:val="252"/>
        </w:trPr>
        <w:tc>
          <w:tcPr>
            <w:tcW w:w="2780" w:type="dxa"/>
            <w:tcBorders>
              <w:top w:val="single" w:sz="4" w:space="0" w:color="auto"/>
              <w:left w:val="single" w:sz="4" w:space="0" w:color="auto"/>
              <w:bottom w:val="nil"/>
              <w:right w:val="single" w:sz="4" w:space="0" w:color="auto"/>
            </w:tcBorders>
            <w:shd w:val="clear" w:color="000000" w:fill="FFFFFF"/>
            <w:noWrap/>
            <w:vAlign w:val="bottom"/>
            <w:hideMark/>
          </w:tcPr>
          <w:p w14:paraId="254A160A" w14:textId="77777777" w:rsidR="00356486" w:rsidRPr="006576A9" w:rsidRDefault="00356486" w:rsidP="004E0C9A">
            <w:pPr>
              <w:ind w:left="0"/>
              <w:rPr>
                <w:sz w:val="20"/>
                <w:szCs w:val="20"/>
              </w:rPr>
            </w:pPr>
            <w:r w:rsidRPr="006576A9">
              <w:rPr>
                <w:sz w:val="20"/>
                <w:szCs w:val="20"/>
              </w:rPr>
              <w:t>Project Number</w:t>
            </w:r>
          </w:p>
        </w:tc>
        <w:tc>
          <w:tcPr>
            <w:tcW w:w="1985" w:type="dxa"/>
            <w:tcBorders>
              <w:top w:val="single" w:sz="4" w:space="0" w:color="auto"/>
              <w:left w:val="nil"/>
              <w:bottom w:val="nil"/>
              <w:right w:val="single" w:sz="4" w:space="0" w:color="auto"/>
            </w:tcBorders>
            <w:shd w:val="clear" w:color="000000" w:fill="FFFFFF"/>
            <w:noWrap/>
            <w:vAlign w:val="bottom"/>
            <w:hideMark/>
          </w:tcPr>
          <w:p w14:paraId="263C5048" w14:textId="77777777" w:rsidR="00356486" w:rsidRPr="006576A9" w:rsidRDefault="00356486" w:rsidP="004E0C9A">
            <w:pPr>
              <w:ind w:left="0"/>
              <w:rPr>
                <w:sz w:val="20"/>
                <w:szCs w:val="20"/>
              </w:rPr>
            </w:pPr>
            <w:r w:rsidRPr="006576A9">
              <w:rPr>
                <w:sz w:val="20"/>
                <w:szCs w:val="20"/>
              </w:rPr>
              <w:t>PCN</w:t>
            </w:r>
          </w:p>
        </w:tc>
        <w:tc>
          <w:tcPr>
            <w:tcW w:w="5490" w:type="dxa"/>
            <w:tcBorders>
              <w:top w:val="single" w:sz="4" w:space="0" w:color="auto"/>
              <w:left w:val="nil"/>
              <w:bottom w:val="nil"/>
              <w:right w:val="single" w:sz="4" w:space="0" w:color="auto"/>
            </w:tcBorders>
            <w:shd w:val="clear" w:color="000000" w:fill="FFFFFF"/>
            <w:noWrap/>
            <w:vAlign w:val="bottom"/>
            <w:hideMark/>
          </w:tcPr>
          <w:p w14:paraId="72E09B0B" w14:textId="77777777" w:rsidR="00356486" w:rsidRPr="006576A9" w:rsidRDefault="00356486" w:rsidP="004E0C9A">
            <w:pPr>
              <w:ind w:left="0"/>
              <w:rPr>
                <w:sz w:val="20"/>
                <w:szCs w:val="20"/>
              </w:rPr>
            </w:pPr>
            <w:r w:rsidRPr="006576A9">
              <w:rPr>
                <w:sz w:val="20"/>
                <w:szCs w:val="20"/>
              </w:rPr>
              <w:t>Project Description</w:t>
            </w:r>
          </w:p>
        </w:tc>
      </w:tr>
      <w:tr w:rsidR="00356486" w:rsidRPr="00356486" w14:paraId="282B2470" w14:textId="77777777" w:rsidTr="00356486">
        <w:trPr>
          <w:trHeight w:val="252"/>
        </w:trPr>
        <w:tc>
          <w:tcPr>
            <w:tcW w:w="2780" w:type="dxa"/>
            <w:tcBorders>
              <w:top w:val="nil"/>
              <w:left w:val="single" w:sz="4" w:space="0" w:color="auto"/>
              <w:bottom w:val="single" w:sz="4" w:space="0" w:color="auto"/>
              <w:right w:val="single" w:sz="4" w:space="0" w:color="auto"/>
            </w:tcBorders>
            <w:shd w:val="clear" w:color="000000" w:fill="D9D9D9"/>
            <w:noWrap/>
            <w:vAlign w:val="bottom"/>
            <w:hideMark/>
          </w:tcPr>
          <w:p w14:paraId="41CE6593" w14:textId="77777777" w:rsidR="00356486" w:rsidRPr="006576A9" w:rsidRDefault="00356486" w:rsidP="004E0C9A">
            <w:pPr>
              <w:ind w:left="0"/>
              <w:rPr>
                <w:sz w:val="20"/>
                <w:szCs w:val="20"/>
              </w:rPr>
            </w:pPr>
            <w:r w:rsidRPr="006576A9">
              <w:rPr>
                <w:sz w:val="20"/>
                <w:szCs w:val="20"/>
              </w:rPr>
              <w:t>N/A</w:t>
            </w:r>
          </w:p>
        </w:tc>
        <w:tc>
          <w:tcPr>
            <w:tcW w:w="1985" w:type="dxa"/>
            <w:tcBorders>
              <w:top w:val="nil"/>
              <w:left w:val="nil"/>
              <w:bottom w:val="single" w:sz="4" w:space="0" w:color="auto"/>
              <w:right w:val="single" w:sz="4" w:space="0" w:color="auto"/>
            </w:tcBorders>
            <w:shd w:val="clear" w:color="000000" w:fill="D9D9D9"/>
            <w:noWrap/>
            <w:vAlign w:val="bottom"/>
            <w:hideMark/>
          </w:tcPr>
          <w:p w14:paraId="261B83EF" w14:textId="77777777" w:rsidR="00356486" w:rsidRPr="006576A9" w:rsidRDefault="00356486" w:rsidP="004E0C9A">
            <w:pPr>
              <w:ind w:left="0"/>
              <w:rPr>
                <w:sz w:val="20"/>
                <w:szCs w:val="20"/>
              </w:rPr>
            </w:pPr>
            <w:r w:rsidRPr="006576A9">
              <w:rPr>
                <w:sz w:val="20"/>
                <w:szCs w:val="20"/>
              </w:rPr>
              <w:t>N/A</w:t>
            </w:r>
          </w:p>
        </w:tc>
        <w:tc>
          <w:tcPr>
            <w:tcW w:w="5490" w:type="dxa"/>
            <w:tcBorders>
              <w:top w:val="nil"/>
              <w:left w:val="nil"/>
              <w:bottom w:val="single" w:sz="4" w:space="0" w:color="auto"/>
              <w:right w:val="single" w:sz="4" w:space="0" w:color="auto"/>
            </w:tcBorders>
            <w:shd w:val="clear" w:color="000000" w:fill="D9D9D9"/>
            <w:noWrap/>
            <w:vAlign w:val="bottom"/>
            <w:hideMark/>
          </w:tcPr>
          <w:p w14:paraId="08A11EE6" w14:textId="77777777" w:rsidR="00356486" w:rsidRPr="00356486" w:rsidRDefault="00356486" w:rsidP="004E0C9A">
            <w:pPr>
              <w:ind w:left="0"/>
            </w:pPr>
            <w:r w:rsidRPr="00356486">
              <w:t> </w:t>
            </w:r>
          </w:p>
        </w:tc>
      </w:tr>
      <w:tr w:rsidR="00356486" w:rsidRPr="00356486" w14:paraId="041FF547" w14:textId="77777777" w:rsidTr="00356486">
        <w:trPr>
          <w:trHeight w:val="252"/>
        </w:trPr>
        <w:tc>
          <w:tcPr>
            <w:tcW w:w="4765"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A21B016" w14:textId="77777777" w:rsidR="00356486" w:rsidRPr="0082014B" w:rsidRDefault="00356486" w:rsidP="004E0C9A">
            <w:pPr>
              <w:ind w:left="0"/>
              <w:rPr>
                <w:sz w:val="20"/>
                <w:szCs w:val="20"/>
              </w:rPr>
            </w:pPr>
            <w:r w:rsidRPr="0082014B">
              <w:rPr>
                <w:sz w:val="20"/>
                <w:szCs w:val="20"/>
              </w:rPr>
              <w:t>Sub-Consultant</w:t>
            </w:r>
          </w:p>
        </w:tc>
        <w:tc>
          <w:tcPr>
            <w:tcW w:w="5490" w:type="dxa"/>
            <w:tcBorders>
              <w:top w:val="nil"/>
              <w:left w:val="nil"/>
              <w:bottom w:val="nil"/>
              <w:right w:val="single" w:sz="4" w:space="0" w:color="auto"/>
            </w:tcBorders>
            <w:shd w:val="clear" w:color="000000" w:fill="FFFFFF"/>
            <w:noWrap/>
            <w:vAlign w:val="bottom"/>
            <w:hideMark/>
          </w:tcPr>
          <w:p w14:paraId="196CF5D7" w14:textId="77777777" w:rsidR="00356486" w:rsidRPr="009D5AC6" w:rsidRDefault="00356486" w:rsidP="004E0C9A">
            <w:pPr>
              <w:ind w:left="0"/>
              <w:rPr>
                <w:sz w:val="20"/>
                <w:szCs w:val="20"/>
              </w:rPr>
            </w:pPr>
            <w:r w:rsidRPr="009D5AC6">
              <w:rPr>
                <w:sz w:val="20"/>
                <w:szCs w:val="20"/>
              </w:rPr>
              <w:t>Address</w:t>
            </w:r>
          </w:p>
        </w:tc>
      </w:tr>
      <w:tr w:rsidR="00356486" w:rsidRPr="00356486" w14:paraId="55049A08" w14:textId="77777777" w:rsidTr="00356486">
        <w:trPr>
          <w:trHeight w:val="288"/>
        </w:trPr>
        <w:tc>
          <w:tcPr>
            <w:tcW w:w="4765" w:type="dxa"/>
            <w:gridSpan w:val="2"/>
            <w:tcBorders>
              <w:top w:val="nil"/>
              <w:left w:val="single" w:sz="4" w:space="0" w:color="auto"/>
              <w:bottom w:val="single" w:sz="4" w:space="0" w:color="auto"/>
              <w:right w:val="single" w:sz="4" w:space="0" w:color="000000"/>
            </w:tcBorders>
            <w:shd w:val="clear" w:color="000000" w:fill="D9D9D9"/>
            <w:noWrap/>
            <w:vAlign w:val="bottom"/>
            <w:hideMark/>
          </w:tcPr>
          <w:p w14:paraId="591152CC" w14:textId="77777777" w:rsidR="00356486" w:rsidRPr="00356486" w:rsidRDefault="00356486" w:rsidP="004E0C9A">
            <w:pPr>
              <w:ind w:left="0"/>
            </w:pPr>
            <w:r w:rsidRPr="00356486">
              <w:t> </w:t>
            </w:r>
          </w:p>
        </w:tc>
        <w:tc>
          <w:tcPr>
            <w:tcW w:w="5490" w:type="dxa"/>
            <w:tcBorders>
              <w:top w:val="nil"/>
              <w:left w:val="nil"/>
              <w:bottom w:val="single" w:sz="4" w:space="0" w:color="auto"/>
              <w:right w:val="single" w:sz="4" w:space="0" w:color="auto"/>
            </w:tcBorders>
            <w:shd w:val="clear" w:color="000000" w:fill="D9D9D9"/>
            <w:noWrap/>
            <w:vAlign w:val="bottom"/>
            <w:hideMark/>
          </w:tcPr>
          <w:p w14:paraId="08A24A2F" w14:textId="77777777" w:rsidR="00356486" w:rsidRPr="00356486" w:rsidRDefault="00356486" w:rsidP="004E0C9A">
            <w:pPr>
              <w:ind w:left="0"/>
            </w:pPr>
            <w:r w:rsidRPr="00356486">
              <w:t> </w:t>
            </w:r>
          </w:p>
        </w:tc>
      </w:tr>
      <w:tr w:rsidR="00356486" w:rsidRPr="00356486" w14:paraId="6DFA44B6" w14:textId="77777777" w:rsidTr="00356486">
        <w:trPr>
          <w:trHeight w:val="252"/>
        </w:trPr>
        <w:tc>
          <w:tcPr>
            <w:tcW w:w="4765"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C95FE26" w14:textId="77777777" w:rsidR="00356486" w:rsidRPr="009D5AC6" w:rsidRDefault="00356486" w:rsidP="004E0C9A">
            <w:pPr>
              <w:ind w:left="0"/>
              <w:rPr>
                <w:sz w:val="20"/>
                <w:szCs w:val="20"/>
              </w:rPr>
            </w:pPr>
            <w:r w:rsidRPr="009D5AC6">
              <w:rPr>
                <w:sz w:val="20"/>
                <w:szCs w:val="20"/>
              </w:rPr>
              <w:t>Prime Consultant</w:t>
            </w:r>
          </w:p>
        </w:tc>
        <w:tc>
          <w:tcPr>
            <w:tcW w:w="5490" w:type="dxa"/>
            <w:tcBorders>
              <w:top w:val="nil"/>
              <w:left w:val="nil"/>
              <w:bottom w:val="nil"/>
              <w:right w:val="single" w:sz="4" w:space="0" w:color="auto"/>
            </w:tcBorders>
            <w:shd w:val="clear" w:color="000000" w:fill="FFFFFF"/>
            <w:noWrap/>
            <w:vAlign w:val="bottom"/>
            <w:hideMark/>
          </w:tcPr>
          <w:p w14:paraId="1143B819" w14:textId="77777777" w:rsidR="00356486" w:rsidRPr="009D5AC6" w:rsidRDefault="00356486" w:rsidP="004E0C9A">
            <w:pPr>
              <w:ind w:left="0"/>
              <w:rPr>
                <w:sz w:val="20"/>
                <w:szCs w:val="20"/>
              </w:rPr>
            </w:pPr>
            <w:r w:rsidRPr="009D5AC6">
              <w:rPr>
                <w:sz w:val="20"/>
                <w:szCs w:val="20"/>
              </w:rPr>
              <w:t>Address</w:t>
            </w:r>
          </w:p>
        </w:tc>
      </w:tr>
      <w:tr w:rsidR="00356486" w:rsidRPr="00356486" w14:paraId="2CECF894" w14:textId="77777777" w:rsidTr="00356486">
        <w:trPr>
          <w:trHeight w:val="240"/>
        </w:trPr>
        <w:tc>
          <w:tcPr>
            <w:tcW w:w="4765" w:type="dxa"/>
            <w:gridSpan w:val="2"/>
            <w:tcBorders>
              <w:top w:val="nil"/>
              <w:left w:val="single" w:sz="4" w:space="0" w:color="auto"/>
              <w:bottom w:val="single" w:sz="4" w:space="0" w:color="auto"/>
              <w:right w:val="single" w:sz="4" w:space="0" w:color="000000"/>
            </w:tcBorders>
            <w:shd w:val="clear" w:color="000000" w:fill="D9D9D9"/>
            <w:noWrap/>
            <w:vAlign w:val="bottom"/>
            <w:hideMark/>
          </w:tcPr>
          <w:p w14:paraId="352AEBB6" w14:textId="77777777" w:rsidR="00356486" w:rsidRPr="00356486" w:rsidRDefault="00356486" w:rsidP="004E0C9A">
            <w:pPr>
              <w:ind w:left="0"/>
            </w:pPr>
            <w:r w:rsidRPr="00356486">
              <w:t> </w:t>
            </w:r>
          </w:p>
        </w:tc>
        <w:tc>
          <w:tcPr>
            <w:tcW w:w="5490" w:type="dxa"/>
            <w:tcBorders>
              <w:top w:val="nil"/>
              <w:left w:val="nil"/>
              <w:bottom w:val="single" w:sz="4" w:space="0" w:color="auto"/>
              <w:right w:val="single" w:sz="4" w:space="0" w:color="auto"/>
            </w:tcBorders>
            <w:shd w:val="clear" w:color="000000" w:fill="D9D9D9"/>
            <w:noWrap/>
            <w:vAlign w:val="bottom"/>
            <w:hideMark/>
          </w:tcPr>
          <w:p w14:paraId="4AA166AE" w14:textId="77777777" w:rsidR="00356486" w:rsidRPr="00356486" w:rsidRDefault="00356486" w:rsidP="004E0C9A">
            <w:pPr>
              <w:ind w:left="0"/>
            </w:pPr>
            <w:r w:rsidRPr="00356486">
              <w:t> </w:t>
            </w:r>
          </w:p>
        </w:tc>
      </w:tr>
    </w:tbl>
    <w:p w14:paraId="5790A8BB" w14:textId="77777777" w:rsidR="0053241B" w:rsidRPr="009D5AC6" w:rsidRDefault="00227CD7" w:rsidP="004E0C9A">
      <w:pPr>
        <w:ind w:left="0"/>
        <w:rPr>
          <w:sz w:val="20"/>
          <w:szCs w:val="20"/>
          <w:lang w:bidi="en-US"/>
        </w:rPr>
      </w:pPr>
      <w:r w:rsidRPr="009D5AC6">
        <w:rPr>
          <w:sz w:val="20"/>
          <w:szCs w:val="20"/>
          <w:lang w:bidi="en-US"/>
        </w:rPr>
        <w:t>The subcontract between the sub-consultant an</w:t>
      </w:r>
      <w:r w:rsidR="009C7012" w:rsidRPr="009D5AC6">
        <w:rPr>
          <w:sz w:val="20"/>
          <w:szCs w:val="20"/>
          <w:lang w:bidi="en-US"/>
        </w:rPr>
        <w:t>d prime consultant specified above contains all pert</w:t>
      </w:r>
      <w:r w:rsidR="00504944" w:rsidRPr="009D5AC6">
        <w:rPr>
          <w:sz w:val="20"/>
          <w:szCs w:val="20"/>
          <w:lang w:bidi="en-US"/>
        </w:rPr>
        <w:t xml:space="preserve">inent provisions and requirements of the prime contract with </w:t>
      </w:r>
      <w:r w:rsidR="00FF458C" w:rsidRPr="009D5AC6">
        <w:rPr>
          <w:sz w:val="20"/>
          <w:szCs w:val="20"/>
          <w:lang w:bidi="en-US"/>
        </w:rPr>
        <w:t>the North Dakota Department of Transportation (NDDOT)</w:t>
      </w:r>
      <w:r w:rsidR="00B137D1" w:rsidRPr="009D5AC6">
        <w:rPr>
          <w:sz w:val="20"/>
          <w:szCs w:val="20"/>
          <w:lang w:bidi="en-US"/>
        </w:rPr>
        <w:t>. It is specifically</w:t>
      </w:r>
      <w:r w:rsidR="001045D8" w:rsidRPr="009D5AC6">
        <w:rPr>
          <w:sz w:val="20"/>
          <w:szCs w:val="20"/>
          <w:lang w:bidi="en-US"/>
        </w:rPr>
        <w:t xml:space="preserve"> </w:t>
      </w:r>
      <w:r w:rsidR="00B137D1" w:rsidRPr="009D5AC6">
        <w:rPr>
          <w:sz w:val="20"/>
          <w:szCs w:val="20"/>
          <w:lang w:bidi="en-US"/>
        </w:rPr>
        <w:t>agreed</w:t>
      </w:r>
      <w:r w:rsidR="001045D8" w:rsidRPr="009D5AC6">
        <w:rPr>
          <w:sz w:val="20"/>
          <w:szCs w:val="20"/>
          <w:lang w:bidi="en-US"/>
        </w:rPr>
        <w:t xml:space="preserve"> and understood by and between the prime consultant and the sub-consultant that should </w:t>
      </w:r>
      <w:r w:rsidR="008F6A24" w:rsidRPr="009D5AC6">
        <w:rPr>
          <w:sz w:val="20"/>
          <w:szCs w:val="20"/>
          <w:lang w:bidi="en-US"/>
        </w:rPr>
        <w:t xml:space="preserve">the Deputy Director of Engineering of the NDDOT </w:t>
      </w:r>
      <w:r w:rsidR="00F869B6" w:rsidRPr="009D5AC6">
        <w:rPr>
          <w:sz w:val="20"/>
          <w:szCs w:val="20"/>
          <w:lang w:bidi="en-US"/>
        </w:rPr>
        <w:t>determine that progress on any sublet</w:t>
      </w:r>
      <w:r w:rsidR="007F20C2" w:rsidRPr="009D5AC6">
        <w:rPr>
          <w:sz w:val="20"/>
          <w:szCs w:val="20"/>
          <w:lang w:bidi="en-US"/>
        </w:rPr>
        <w:t xml:space="preserve"> item of work is not satisfactory, the Deputy Di</w:t>
      </w:r>
      <w:r w:rsidR="00960B76" w:rsidRPr="009D5AC6">
        <w:rPr>
          <w:sz w:val="20"/>
          <w:szCs w:val="20"/>
          <w:lang w:bidi="en-US"/>
        </w:rPr>
        <w:t>rector shall notify the prime consultant in writing of that fact and the prime consultant</w:t>
      </w:r>
      <w:r w:rsidR="00B228EB" w:rsidRPr="009D5AC6">
        <w:rPr>
          <w:sz w:val="20"/>
          <w:szCs w:val="20"/>
          <w:lang w:bidi="en-US"/>
        </w:rPr>
        <w:t xml:space="preserve"> shall have the right to terminate the subcontract</w:t>
      </w:r>
      <w:r w:rsidR="00753E43" w:rsidRPr="009D5AC6">
        <w:rPr>
          <w:sz w:val="20"/>
          <w:szCs w:val="20"/>
          <w:lang w:bidi="en-US"/>
        </w:rPr>
        <w:t xml:space="preserve"> by giving written notice thereof</w:t>
      </w:r>
      <w:r w:rsidR="00B137D1" w:rsidRPr="009D5AC6">
        <w:rPr>
          <w:sz w:val="20"/>
          <w:szCs w:val="20"/>
          <w:lang w:bidi="en-US"/>
        </w:rPr>
        <w:t xml:space="preserve"> </w:t>
      </w:r>
      <w:r w:rsidR="00BF35C1" w:rsidRPr="009D5AC6">
        <w:rPr>
          <w:sz w:val="20"/>
          <w:szCs w:val="20"/>
          <w:lang w:bidi="en-US"/>
        </w:rPr>
        <w:t>to sub-consultant, and</w:t>
      </w:r>
      <w:r w:rsidR="00B26EF7" w:rsidRPr="009D5AC6">
        <w:rPr>
          <w:sz w:val="20"/>
          <w:szCs w:val="20"/>
          <w:lang w:bidi="en-US"/>
        </w:rPr>
        <w:t xml:space="preserve"> the sub-consultant shall have no cause</w:t>
      </w:r>
      <w:r w:rsidR="008E4AA1" w:rsidRPr="009D5AC6">
        <w:rPr>
          <w:sz w:val="20"/>
          <w:szCs w:val="20"/>
          <w:lang w:bidi="en-US"/>
        </w:rPr>
        <w:t xml:space="preserve"> of action against the prime consultant or the state of North Dakota</w:t>
      </w:r>
      <w:r w:rsidR="00C9762D" w:rsidRPr="009D5AC6">
        <w:rPr>
          <w:sz w:val="20"/>
          <w:szCs w:val="20"/>
          <w:lang w:bidi="en-US"/>
        </w:rPr>
        <w:t xml:space="preserve"> for such termination. A prime contractor’s organization</w:t>
      </w:r>
      <w:r w:rsidR="009D68FC" w:rsidRPr="009D5AC6">
        <w:rPr>
          <w:sz w:val="20"/>
          <w:szCs w:val="20"/>
          <w:lang w:bidi="en-US"/>
        </w:rPr>
        <w:t xml:space="preserve"> shall perform work amounting to not less than 30 percent of the </w:t>
      </w:r>
      <w:r w:rsidR="0053241B" w:rsidRPr="009D5AC6">
        <w:rPr>
          <w:sz w:val="20"/>
          <w:szCs w:val="20"/>
          <w:lang w:bidi="en-US"/>
        </w:rPr>
        <w:t>total original contract amount.</w:t>
      </w:r>
    </w:p>
    <w:tbl>
      <w:tblPr>
        <w:tblW w:w="10525" w:type="dxa"/>
        <w:tblLook w:val="04A0" w:firstRow="1" w:lastRow="0" w:firstColumn="1" w:lastColumn="0" w:noHBand="0" w:noVBand="1"/>
        <w:tblCaption w:val="Verification of Applicable Subconsultant Provisions"/>
        <w:tblDescription w:val="Table requesting contact information of prime consultant and confirmation of various applicable provisions"/>
      </w:tblPr>
      <w:tblGrid>
        <w:gridCol w:w="1235"/>
        <w:gridCol w:w="1235"/>
        <w:gridCol w:w="1947"/>
        <w:gridCol w:w="708"/>
        <w:gridCol w:w="271"/>
        <w:gridCol w:w="1643"/>
        <w:gridCol w:w="1235"/>
        <w:gridCol w:w="1866"/>
        <w:gridCol w:w="602"/>
      </w:tblGrid>
      <w:tr w:rsidR="00D15AAD" w:rsidRPr="00F74C7D" w14:paraId="34A23191" w14:textId="77777777" w:rsidTr="006324C9">
        <w:trPr>
          <w:trHeight w:val="252"/>
        </w:trPr>
        <w:tc>
          <w:tcPr>
            <w:tcW w:w="5125"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1FE7A416" w14:textId="77777777" w:rsidR="00F74C7D" w:rsidRPr="006324C9" w:rsidRDefault="00F74C7D" w:rsidP="004E0C9A">
            <w:pPr>
              <w:ind w:left="0"/>
              <w:rPr>
                <w:sz w:val="20"/>
                <w:szCs w:val="20"/>
              </w:rPr>
            </w:pPr>
            <w:r w:rsidRPr="006324C9">
              <w:rPr>
                <w:sz w:val="20"/>
                <w:szCs w:val="20"/>
              </w:rPr>
              <w:t>Name</w:t>
            </w:r>
          </w:p>
        </w:tc>
        <w:tc>
          <w:tcPr>
            <w:tcW w:w="271" w:type="dxa"/>
            <w:tcBorders>
              <w:top w:val="nil"/>
              <w:left w:val="nil"/>
              <w:bottom w:val="nil"/>
              <w:right w:val="nil"/>
            </w:tcBorders>
            <w:shd w:val="clear" w:color="000000" w:fill="FFFFFF"/>
            <w:noWrap/>
            <w:vAlign w:val="bottom"/>
            <w:hideMark/>
          </w:tcPr>
          <w:p w14:paraId="148E9951" w14:textId="77777777" w:rsidR="00F74C7D" w:rsidRPr="00F74C7D" w:rsidRDefault="00F74C7D" w:rsidP="004E0C9A">
            <w:pPr>
              <w:ind w:left="0"/>
            </w:pPr>
            <w:r w:rsidRPr="00F74C7D">
              <w:t> </w:t>
            </w:r>
          </w:p>
        </w:tc>
        <w:tc>
          <w:tcPr>
            <w:tcW w:w="5129"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3D9C6A2E" w14:textId="77777777" w:rsidR="00F74C7D" w:rsidRPr="006324C9" w:rsidRDefault="00F74C7D" w:rsidP="004E0C9A">
            <w:pPr>
              <w:ind w:left="0"/>
              <w:rPr>
                <w:sz w:val="20"/>
                <w:szCs w:val="20"/>
              </w:rPr>
            </w:pPr>
            <w:r w:rsidRPr="006324C9">
              <w:rPr>
                <w:sz w:val="20"/>
                <w:szCs w:val="20"/>
              </w:rPr>
              <w:t>Name</w:t>
            </w:r>
          </w:p>
        </w:tc>
      </w:tr>
      <w:tr w:rsidR="00D15AAD" w:rsidRPr="00F74C7D" w14:paraId="433B7B03" w14:textId="77777777" w:rsidTr="006324C9">
        <w:trPr>
          <w:trHeight w:val="252"/>
        </w:trPr>
        <w:tc>
          <w:tcPr>
            <w:tcW w:w="5125" w:type="dxa"/>
            <w:gridSpan w:val="4"/>
            <w:tcBorders>
              <w:top w:val="nil"/>
              <w:left w:val="single" w:sz="4" w:space="0" w:color="auto"/>
              <w:bottom w:val="single" w:sz="4" w:space="0" w:color="auto"/>
              <w:right w:val="single" w:sz="4" w:space="0" w:color="000000"/>
            </w:tcBorders>
            <w:shd w:val="clear" w:color="000000" w:fill="D9D9D9"/>
            <w:noWrap/>
            <w:vAlign w:val="bottom"/>
            <w:hideMark/>
          </w:tcPr>
          <w:p w14:paraId="4D544CC2" w14:textId="77777777" w:rsidR="00F74C7D" w:rsidRPr="00F74C7D" w:rsidRDefault="00F74C7D" w:rsidP="004E0C9A">
            <w:pPr>
              <w:ind w:left="0"/>
            </w:pPr>
            <w:r w:rsidRPr="00F74C7D">
              <w:t> </w:t>
            </w:r>
          </w:p>
        </w:tc>
        <w:tc>
          <w:tcPr>
            <w:tcW w:w="271" w:type="dxa"/>
            <w:tcBorders>
              <w:top w:val="nil"/>
              <w:left w:val="nil"/>
              <w:bottom w:val="nil"/>
              <w:right w:val="nil"/>
            </w:tcBorders>
            <w:shd w:val="clear" w:color="000000" w:fill="FFFFFF"/>
            <w:noWrap/>
            <w:vAlign w:val="bottom"/>
            <w:hideMark/>
          </w:tcPr>
          <w:p w14:paraId="36119A73" w14:textId="77777777" w:rsidR="00F74C7D" w:rsidRPr="00F74C7D" w:rsidRDefault="00F74C7D" w:rsidP="004E0C9A">
            <w:pPr>
              <w:ind w:left="0"/>
            </w:pPr>
            <w:r w:rsidRPr="00F74C7D">
              <w:t> </w:t>
            </w:r>
          </w:p>
        </w:tc>
        <w:tc>
          <w:tcPr>
            <w:tcW w:w="5129" w:type="dxa"/>
            <w:gridSpan w:val="4"/>
            <w:tcBorders>
              <w:top w:val="nil"/>
              <w:left w:val="single" w:sz="4" w:space="0" w:color="auto"/>
              <w:bottom w:val="single" w:sz="4" w:space="0" w:color="auto"/>
              <w:right w:val="single" w:sz="4" w:space="0" w:color="000000"/>
            </w:tcBorders>
            <w:shd w:val="clear" w:color="000000" w:fill="D9D9D9"/>
            <w:noWrap/>
            <w:vAlign w:val="bottom"/>
            <w:hideMark/>
          </w:tcPr>
          <w:p w14:paraId="5C5EFDCD" w14:textId="77777777" w:rsidR="00F74C7D" w:rsidRPr="00F74C7D" w:rsidRDefault="00F74C7D" w:rsidP="004E0C9A">
            <w:pPr>
              <w:ind w:left="0"/>
            </w:pPr>
            <w:r w:rsidRPr="00F74C7D">
              <w:t> </w:t>
            </w:r>
          </w:p>
        </w:tc>
      </w:tr>
      <w:tr w:rsidR="00D15AAD" w:rsidRPr="00F74C7D" w14:paraId="69FDCD88" w14:textId="77777777" w:rsidTr="006324C9">
        <w:trPr>
          <w:trHeight w:val="252"/>
        </w:trPr>
        <w:tc>
          <w:tcPr>
            <w:tcW w:w="5125"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5BEAFE40" w14:textId="77777777" w:rsidR="00F74C7D" w:rsidRPr="006324C9" w:rsidRDefault="00F74C7D" w:rsidP="004E0C9A">
            <w:pPr>
              <w:ind w:left="0"/>
              <w:rPr>
                <w:sz w:val="20"/>
                <w:szCs w:val="20"/>
              </w:rPr>
            </w:pPr>
            <w:r w:rsidRPr="006324C9">
              <w:rPr>
                <w:sz w:val="20"/>
                <w:szCs w:val="20"/>
              </w:rPr>
              <w:t>Title</w:t>
            </w:r>
          </w:p>
        </w:tc>
        <w:tc>
          <w:tcPr>
            <w:tcW w:w="271" w:type="dxa"/>
            <w:tcBorders>
              <w:top w:val="nil"/>
              <w:left w:val="nil"/>
              <w:bottom w:val="nil"/>
              <w:right w:val="nil"/>
            </w:tcBorders>
            <w:shd w:val="clear" w:color="000000" w:fill="FFFFFF"/>
            <w:noWrap/>
            <w:vAlign w:val="bottom"/>
            <w:hideMark/>
          </w:tcPr>
          <w:p w14:paraId="6128C71F" w14:textId="77777777" w:rsidR="00F74C7D" w:rsidRPr="00F74C7D" w:rsidRDefault="00F74C7D" w:rsidP="004E0C9A">
            <w:pPr>
              <w:ind w:left="0"/>
            </w:pPr>
            <w:r w:rsidRPr="00F74C7D">
              <w:t> </w:t>
            </w:r>
          </w:p>
        </w:tc>
        <w:tc>
          <w:tcPr>
            <w:tcW w:w="5129"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746BE359" w14:textId="77777777" w:rsidR="00F74C7D" w:rsidRPr="006324C9" w:rsidRDefault="00F74C7D" w:rsidP="004E0C9A">
            <w:pPr>
              <w:ind w:left="0"/>
              <w:rPr>
                <w:sz w:val="20"/>
                <w:szCs w:val="20"/>
              </w:rPr>
            </w:pPr>
            <w:r w:rsidRPr="006324C9">
              <w:rPr>
                <w:sz w:val="20"/>
                <w:szCs w:val="20"/>
              </w:rPr>
              <w:t>Title</w:t>
            </w:r>
          </w:p>
        </w:tc>
      </w:tr>
      <w:tr w:rsidR="00D15AAD" w:rsidRPr="00F74C7D" w14:paraId="17278AD3" w14:textId="77777777" w:rsidTr="006324C9">
        <w:trPr>
          <w:trHeight w:val="288"/>
        </w:trPr>
        <w:tc>
          <w:tcPr>
            <w:tcW w:w="5125" w:type="dxa"/>
            <w:gridSpan w:val="4"/>
            <w:tcBorders>
              <w:top w:val="nil"/>
              <w:left w:val="single" w:sz="4" w:space="0" w:color="auto"/>
              <w:bottom w:val="single" w:sz="4" w:space="0" w:color="auto"/>
              <w:right w:val="single" w:sz="4" w:space="0" w:color="000000"/>
            </w:tcBorders>
            <w:shd w:val="clear" w:color="000000" w:fill="D9D9D9"/>
            <w:noWrap/>
            <w:vAlign w:val="bottom"/>
            <w:hideMark/>
          </w:tcPr>
          <w:p w14:paraId="48C2D284" w14:textId="77777777" w:rsidR="00F74C7D" w:rsidRPr="00F74C7D" w:rsidRDefault="00F74C7D" w:rsidP="004E0C9A">
            <w:pPr>
              <w:ind w:left="0"/>
            </w:pPr>
            <w:r w:rsidRPr="00F74C7D">
              <w:t> </w:t>
            </w:r>
          </w:p>
        </w:tc>
        <w:tc>
          <w:tcPr>
            <w:tcW w:w="271" w:type="dxa"/>
            <w:tcBorders>
              <w:top w:val="nil"/>
              <w:left w:val="nil"/>
              <w:bottom w:val="nil"/>
              <w:right w:val="nil"/>
            </w:tcBorders>
            <w:shd w:val="clear" w:color="000000" w:fill="FFFFFF"/>
            <w:noWrap/>
            <w:vAlign w:val="bottom"/>
            <w:hideMark/>
          </w:tcPr>
          <w:p w14:paraId="7512F24F" w14:textId="77777777" w:rsidR="00F74C7D" w:rsidRPr="00F74C7D" w:rsidRDefault="00F74C7D" w:rsidP="004E0C9A">
            <w:pPr>
              <w:ind w:left="0"/>
            </w:pPr>
            <w:r w:rsidRPr="00F74C7D">
              <w:t> </w:t>
            </w:r>
          </w:p>
        </w:tc>
        <w:tc>
          <w:tcPr>
            <w:tcW w:w="5129" w:type="dxa"/>
            <w:gridSpan w:val="4"/>
            <w:tcBorders>
              <w:top w:val="nil"/>
              <w:left w:val="single" w:sz="4" w:space="0" w:color="auto"/>
              <w:bottom w:val="single" w:sz="4" w:space="0" w:color="auto"/>
              <w:right w:val="single" w:sz="4" w:space="0" w:color="000000"/>
            </w:tcBorders>
            <w:shd w:val="clear" w:color="000000" w:fill="D9D9D9"/>
            <w:noWrap/>
            <w:vAlign w:val="bottom"/>
            <w:hideMark/>
          </w:tcPr>
          <w:p w14:paraId="72E6B12A" w14:textId="77777777" w:rsidR="00F74C7D" w:rsidRPr="00F74C7D" w:rsidRDefault="00F74C7D" w:rsidP="004E0C9A">
            <w:pPr>
              <w:ind w:left="0"/>
            </w:pPr>
            <w:r w:rsidRPr="00F74C7D">
              <w:t> </w:t>
            </w:r>
          </w:p>
        </w:tc>
      </w:tr>
      <w:tr w:rsidR="00D15AAD" w:rsidRPr="00F74C7D" w14:paraId="1CB27415" w14:textId="77777777" w:rsidTr="006324C9">
        <w:trPr>
          <w:trHeight w:val="252"/>
        </w:trPr>
        <w:tc>
          <w:tcPr>
            <w:tcW w:w="5125"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63059026" w14:textId="77777777" w:rsidR="00F74C7D" w:rsidRPr="006324C9" w:rsidRDefault="00F74C7D" w:rsidP="004E0C9A">
            <w:pPr>
              <w:ind w:left="0"/>
              <w:rPr>
                <w:sz w:val="20"/>
                <w:szCs w:val="20"/>
              </w:rPr>
            </w:pPr>
            <w:r w:rsidRPr="006324C9">
              <w:rPr>
                <w:sz w:val="20"/>
                <w:szCs w:val="20"/>
              </w:rPr>
              <w:t>Sub-Consultant</w:t>
            </w:r>
          </w:p>
        </w:tc>
        <w:tc>
          <w:tcPr>
            <w:tcW w:w="271" w:type="dxa"/>
            <w:tcBorders>
              <w:top w:val="nil"/>
              <w:left w:val="nil"/>
              <w:bottom w:val="nil"/>
              <w:right w:val="nil"/>
            </w:tcBorders>
            <w:shd w:val="clear" w:color="000000" w:fill="FFFFFF"/>
            <w:noWrap/>
            <w:vAlign w:val="bottom"/>
            <w:hideMark/>
          </w:tcPr>
          <w:p w14:paraId="6777F74A" w14:textId="77777777" w:rsidR="00F74C7D" w:rsidRPr="00F74C7D" w:rsidRDefault="00F74C7D" w:rsidP="004E0C9A">
            <w:pPr>
              <w:ind w:left="0"/>
            </w:pPr>
            <w:r w:rsidRPr="00F74C7D">
              <w:t> </w:t>
            </w:r>
          </w:p>
        </w:tc>
        <w:tc>
          <w:tcPr>
            <w:tcW w:w="5129"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0056CAE5" w14:textId="77777777" w:rsidR="00F74C7D" w:rsidRPr="006324C9" w:rsidRDefault="00F74C7D" w:rsidP="004E0C9A">
            <w:pPr>
              <w:ind w:left="0"/>
              <w:rPr>
                <w:sz w:val="20"/>
                <w:szCs w:val="20"/>
              </w:rPr>
            </w:pPr>
            <w:r w:rsidRPr="006324C9">
              <w:rPr>
                <w:sz w:val="20"/>
                <w:szCs w:val="20"/>
              </w:rPr>
              <w:t>Prime Consultant</w:t>
            </w:r>
          </w:p>
        </w:tc>
      </w:tr>
      <w:tr w:rsidR="00D15AAD" w:rsidRPr="00F74C7D" w14:paraId="5F6EEF5C" w14:textId="77777777" w:rsidTr="006324C9">
        <w:trPr>
          <w:trHeight w:val="240"/>
        </w:trPr>
        <w:tc>
          <w:tcPr>
            <w:tcW w:w="5125" w:type="dxa"/>
            <w:gridSpan w:val="4"/>
            <w:tcBorders>
              <w:top w:val="nil"/>
              <w:left w:val="single" w:sz="4" w:space="0" w:color="auto"/>
              <w:bottom w:val="single" w:sz="4" w:space="0" w:color="auto"/>
              <w:right w:val="single" w:sz="4" w:space="0" w:color="000000"/>
            </w:tcBorders>
            <w:shd w:val="clear" w:color="000000" w:fill="D9D9D9"/>
            <w:noWrap/>
            <w:vAlign w:val="bottom"/>
            <w:hideMark/>
          </w:tcPr>
          <w:p w14:paraId="051C08A6" w14:textId="77777777" w:rsidR="00F74C7D" w:rsidRPr="00F74C7D" w:rsidRDefault="00F74C7D" w:rsidP="004E0C9A">
            <w:pPr>
              <w:ind w:left="0"/>
            </w:pPr>
            <w:r w:rsidRPr="00F74C7D">
              <w:t> </w:t>
            </w:r>
          </w:p>
        </w:tc>
        <w:tc>
          <w:tcPr>
            <w:tcW w:w="271" w:type="dxa"/>
            <w:tcBorders>
              <w:top w:val="nil"/>
              <w:left w:val="nil"/>
              <w:bottom w:val="nil"/>
              <w:right w:val="nil"/>
            </w:tcBorders>
            <w:shd w:val="clear" w:color="000000" w:fill="FFFFFF"/>
            <w:noWrap/>
            <w:vAlign w:val="bottom"/>
            <w:hideMark/>
          </w:tcPr>
          <w:p w14:paraId="1F8480F4" w14:textId="77777777" w:rsidR="00F74C7D" w:rsidRPr="00F74C7D" w:rsidRDefault="00F74C7D" w:rsidP="004E0C9A">
            <w:pPr>
              <w:ind w:left="0"/>
            </w:pPr>
            <w:r w:rsidRPr="00F74C7D">
              <w:t> </w:t>
            </w:r>
          </w:p>
        </w:tc>
        <w:tc>
          <w:tcPr>
            <w:tcW w:w="5129" w:type="dxa"/>
            <w:gridSpan w:val="4"/>
            <w:tcBorders>
              <w:top w:val="nil"/>
              <w:left w:val="single" w:sz="4" w:space="0" w:color="auto"/>
              <w:bottom w:val="single" w:sz="4" w:space="0" w:color="auto"/>
              <w:right w:val="single" w:sz="4" w:space="0" w:color="000000"/>
            </w:tcBorders>
            <w:shd w:val="clear" w:color="000000" w:fill="D9D9D9"/>
            <w:noWrap/>
            <w:vAlign w:val="bottom"/>
            <w:hideMark/>
          </w:tcPr>
          <w:p w14:paraId="3953D068" w14:textId="77777777" w:rsidR="00F74C7D" w:rsidRPr="00F74C7D" w:rsidRDefault="00F74C7D" w:rsidP="004E0C9A">
            <w:pPr>
              <w:ind w:left="0"/>
            </w:pPr>
            <w:r w:rsidRPr="00F74C7D">
              <w:t> </w:t>
            </w:r>
          </w:p>
        </w:tc>
      </w:tr>
      <w:tr w:rsidR="00A33CB6" w:rsidRPr="00A33CB6" w14:paraId="442BA4CF" w14:textId="77777777" w:rsidTr="006324C9">
        <w:trPr>
          <w:trHeight w:val="624"/>
        </w:trPr>
        <w:tc>
          <w:tcPr>
            <w:tcW w:w="5125" w:type="dxa"/>
            <w:gridSpan w:val="4"/>
            <w:tcBorders>
              <w:top w:val="single" w:sz="4" w:space="0" w:color="auto"/>
              <w:left w:val="single" w:sz="4" w:space="0" w:color="auto"/>
              <w:bottom w:val="nil"/>
              <w:right w:val="single" w:sz="4" w:space="0" w:color="000000"/>
            </w:tcBorders>
            <w:shd w:val="clear" w:color="000000" w:fill="FFFFFF"/>
            <w:hideMark/>
          </w:tcPr>
          <w:p w14:paraId="5C83D43C" w14:textId="77777777" w:rsidR="00A33CB6" w:rsidRPr="006324C9" w:rsidRDefault="00A33CB6" w:rsidP="004E0C9A">
            <w:pPr>
              <w:ind w:left="0"/>
              <w:rPr>
                <w:sz w:val="20"/>
                <w:szCs w:val="20"/>
              </w:rPr>
            </w:pPr>
            <w:r w:rsidRPr="006324C9">
              <w:rPr>
                <w:sz w:val="20"/>
                <w:szCs w:val="20"/>
              </w:rPr>
              <w:t>I hereby acknowledge that I have received and am aware of the following applicable provisions to this subcontract:</w:t>
            </w:r>
          </w:p>
        </w:tc>
        <w:tc>
          <w:tcPr>
            <w:tcW w:w="271" w:type="dxa"/>
            <w:tcBorders>
              <w:top w:val="nil"/>
              <w:left w:val="nil"/>
              <w:bottom w:val="nil"/>
              <w:right w:val="nil"/>
            </w:tcBorders>
            <w:shd w:val="clear" w:color="000000" w:fill="FFFFFF"/>
            <w:noWrap/>
            <w:vAlign w:val="bottom"/>
            <w:hideMark/>
          </w:tcPr>
          <w:p w14:paraId="4871DE68" w14:textId="77777777" w:rsidR="00A33CB6" w:rsidRPr="00A33CB6" w:rsidRDefault="00A33CB6" w:rsidP="004E0C9A">
            <w:pPr>
              <w:ind w:left="0"/>
            </w:pPr>
            <w:r w:rsidRPr="00A33CB6">
              <w:t> </w:t>
            </w:r>
          </w:p>
        </w:tc>
        <w:tc>
          <w:tcPr>
            <w:tcW w:w="5129" w:type="dxa"/>
            <w:gridSpan w:val="4"/>
            <w:tcBorders>
              <w:top w:val="single" w:sz="4" w:space="0" w:color="auto"/>
              <w:left w:val="single" w:sz="4" w:space="0" w:color="auto"/>
              <w:bottom w:val="nil"/>
              <w:right w:val="single" w:sz="4" w:space="0" w:color="000000"/>
            </w:tcBorders>
            <w:shd w:val="clear" w:color="000000" w:fill="FFFFFF"/>
            <w:hideMark/>
          </w:tcPr>
          <w:p w14:paraId="536E291A" w14:textId="77777777" w:rsidR="00A33CB6" w:rsidRPr="006324C9" w:rsidRDefault="00A33CB6" w:rsidP="004E0C9A">
            <w:pPr>
              <w:ind w:left="0"/>
              <w:rPr>
                <w:sz w:val="20"/>
                <w:szCs w:val="20"/>
              </w:rPr>
            </w:pPr>
            <w:r w:rsidRPr="006324C9">
              <w:rPr>
                <w:sz w:val="20"/>
                <w:szCs w:val="20"/>
              </w:rPr>
              <w:t>I hereby acknowledge that I have received and am aware of the following applicable provisions to this subcontract:</w:t>
            </w:r>
          </w:p>
        </w:tc>
      </w:tr>
      <w:tr w:rsidR="00A33CB6" w:rsidRPr="00A33CB6" w14:paraId="3F05F6EB" w14:textId="77777777" w:rsidTr="006324C9">
        <w:trPr>
          <w:trHeight w:val="516"/>
        </w:trPr>
        <w:tc>
          <w:tcPr>
            <w:tcW w:w="1235" w:type="dxa"/>
            <w:tcBorders>
              <w:top w:val="nil"/>
              <w:left w:val="single" w:sz="4" w:space="0" w:color="auto"/>
              <w:bottom w:val="nil"/>
              <w:right w:val="nil"/>
            </w:tcBorders>
            <w:shd w:val="clear" w:color="000000" w:fill="FFFFFF"/>
            <w:noWrap/>
            <w:vAlign w:val="center"/>
            <w:hideMark/>
          </w:tcPr>
          <w:p w14:paraId="595E7549" w14:textId="77777777" w:rsidR="00A33CB6" w:rsidRPr="006324C9" w:rsidRDefault="00A33CB6" w:rsidP="004E0C9A">
            <w:pPr>
              <w:ind w:left="0"/>
              <w:rPr>
                <w:sz w:val="20"/>
                <w:szCs w:val="20"/>
              </w:rPr>
            </w:pPr>
            <w:r w:rsidRPr="006324C9">
              <w:rPr>
                <w:sz w:val="20"/>
                <w:szCs w:val="20"/>
              </w:rPr>
              <w:t>Applicable</w:t>
            </w:r>
          </w:p>
        </w:tc>
        <w:tc>
          <w:tcPr>
            <w:tcW w:w="1235" w:type="dxa"/>
            <w:tcBorders>
              <w:top w:val="nil"/>
              <w:left w:val="nil"/>
              <w:bottom w:val="nil"/>
              <w:right w:val="nil"/>
            </w:tcBorders>
            <w:shd w:val="clear" w:color="000000" w:fill="FFFFFF"/>
            <w:vAlign w:val="center"/>
            <w:hideMark/>
          </w:tcPr>
          <w:p w14:paraId="17C6546D" w14:textId="77777777" w:rsidR="00A33CB6" w:rsidRPr="006324C9" w:rsidRDefault="00A33CB6" w:rsidP="004E0C9A">
            <w:pPr>
              <w:ind w:left="0"/>
              <w:rPr>
                <w:sz w:val="20"/>
                <w:szCs w:val="20"/>
              </w:rPr>
            </w:pPr>
            <w:r w:rsidRPr="006324C9">
              <w:rPr>
                <w:sz w:val="20"/>
                <w:szCs w:val="20"/>
              </w:rPr>
              <w:t>Not Applicable</w:t>
            </w:r>
          </w:p>
        </w:tc>
        <w:tc>
          <w:tcPr>
            <w:tcW w:w="2655" w:type="dxa"/>
            <w:gridSpan w:val="2"/>
            <w:tcBorders>
              <w:top w:val="nil"/>
              <w:left w:val="nil"/>
              <w:bottom w:val="nil"/>
              <w:right w:val="single" w:sz="4" w:space="0" w:color="auto"/>
            </w:tcBorders>
            <w:shd w:val="clear" w:color="000000" w:fill="FFFFFF"/>
            <w:noWrap/>
            <w:vAlign w:val="bottom"/>
            <w:hideMark/>
          </w:tcPr>
          <w:p w14:paraId="2EA1AA72" w14:textId="77777777" w:rsidR="00A33CB6" w:rsidRPr="00A33CB6" w:rsidRDefault="00A33CB6" w:rsidP="004E0C9A">
            <w:pPr>
              <w:ind w:left="0"/>
            </w:pPr>
            <w:r w:rsidRPr="00A33CB6">
              <w:t> </w:t>
            </w:r>
          </w:p>
        </w:tc>
        <w:tc>
          <w:tcPr>
            <w:tcW w:w="271" w:type="dxa"/>
            <w:tcBorders>
              <w:top w:val="nil"/>
              <w:left w:val="nil"/>
              <w:bottom w:val="nil"/>
              <w:right w:val="nil"/>
            </w:tcBorders>
            <w:shd w:val="clear" w:color="000000" w:fill="FFFFFF"/>
            <w:noWrap/>
            <w:vAlign w:val="bottom"/>
            <w:hideMark/>
          </w:tcPr>
          <w:p w14:paraId="0B14B0E2" w14:textId="77777777" w:rsidR="00A33CB6" w:rsidRPr="00A33CB6" w:rsidRDefault="00A33CB6" w:rsidP="004E0C9A">
            <w:pPr>
              <w:ind w:left="0"/>
            </w:pPr>
            <w:r w:rsidRPr="00A33CB6">
              <w:t> </w:t>
            </w:r>
          </w:p>
        </w:tc>
        <w:tc>
          <w:tcPr>
            <w:tcW w:w="1643" w:type="dxa"/>
            <w:tcBorders>
              <w:top w:val="nil"/>
              <w:left w:val="single" w:sz="4" w:space="0" w:color="auto"/>
              <w:bottom w:val="nil"/>
              <w:right w:val="nil"/>
            </w:tcBorders>
            <w:shd w:val="clear" w:color="000000" w:fill="FFFFFF"/>
            <w:noWrap/>
            <w:vAlign w:val="center"/>
            <w:hideMark/>
          </w:tcPr>
          <w:p w14:paraId="33D27CEF" w14:textId="77777777" w:rsidR="00A33CB6" w:rsidRPr="006324C9" w:rsidRDefault="00A33CB6" w:rsidP="004E0C9A">
            <w:pPr>
              <w:ind w:left="0"/>
              <w:rPr>
                <w:sz w:val="20"/>
                <w:szCs w:val="20"/>
              </w:rPr>
            </w:pPr>
            <w:r w:rsidRPr="006324C9">
              <w:rPr>
                <w:sz w:val="20"/>
                <w:szCs w:val="20"/>
              </w:rPr>
              <w:t>Applicable</w:t>
            </w:r>
          </w:p>
        </w:tc>
        <w:tc>
          <w:tcPr>
            <w:tcW w:w="1235" w:type="dxa"/>
            <w:tcBorders>
              <w:top w:val="nil"/>
              <w:left w:val="nil"/>
              <w:bottom w:val="nil"/>
              <w:right w:val="nil"/>
            </w:tcBorders>
            <w:shd w:val="clear" w:color="000000" w:fill="FFFFFF"/>
            <w:vAlign w:val="center"/>
            <w:hideMark/>
          </w:tcPr>
          <w:p w14:paraId="2D0FA475" w14:textId="77777777" w:rsidR="00A33CB6" w:rsidRPr="006324C9" w:rsidRDefault="00A33CB6" w:rsidP="004E0C9A">
            <w:pPr>
              <w:ind w:left="0"/>
              <w:rPr>
                <w:sz w:val="20"/>
                <w:szCs w:val="20"/>
              </w:rPr>
            </w:pPr>
            <w:r w:rsidRPr="006324C9">
              <w:rPr>
                <w:sz w:val="20"/>
                <w:szCs w:val="20"/>
              </w:rPr>
              <w:t>Not Applicable</w:t>
            </w:r>
          </w:p>
        </w:tc>
        <w:tc>
          <w:tcPr>
            <w:tcW w:w="2251" w:type="dxa"/>
            <w:gridSpan w:val="2"/>
            <w:tcBorders>
              <w:top w:val="nil"/>
              <w:left w:val="nil"/>
              <w:bottom w:val="nil"/>
              <w:right w:val="single" w:sz="4" w:space="0" w:color="auto"/>
            </w:tcBorders>
            <w:shd w:val="clear" w:color="000000" w:fill="FFFFFF"/>
            <w:noWrap/>
            <w:vAlign w:val="bottom"/>
            <w:hideMark/>
          </w:tcPr>
          <w:p w14:paraId="4C24E8DB" w14:textId="77777777" w:rsidR="00A33CB6" w:rsidRPr="00A33CB6" w:rsidRDefault="00A33CB6" w:rsidP="004E0C9A">
            <w:pPr>
              <w:ind w:left="0"/>
            </w:pPr>
            <w:r w:rsidRPr="00A33CB6">
              <w:t> </w:t>
            </w:r>
          </w:p>
        </w:tc>
      </w:tr>
      <w:tr w:rsidR="00D15AAD" w:rsidRPr="00A33CB6" w14:paraId="07AB1826" w14:textId="77777777" w:rsidTr="006324C9">
        <w:trPr>
          <w:trHeight w:val="252"/>
        </w:trPr>
        <w:tc>
          <w:tcPr>
            <w:tcW w:w="12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DE7BA5" w14:textId="77777777" w:rsidR="00A33CB6" w:rsidRPr="006324C9" w:rsidRDefault="00A33CB6" w:rsidP="004E0C9A">
            <w:pPr>
              <w:ind w:left="0"/>
              <w:rPr>
                <w:sz w:val="22"/>
                <w:szCs w:val="22"/>
              </w:rPr>
            </w:pPr>
            <w:r w:rsidRPr="006324C9">
              <w:rPr>
                <w:sz w:val="22"/>
                <w:szCs w:val="22"/>
              </w:rPr>
              <w:t> </w:t>
            </w:r>
          </w:p>
        </w:tc>
        <w:tc>
          <w:tcPr>
            <w:tcW w:w="1235" w:type="dxa"/>
            <w:tcBorders>
              <w:top w:val="single" w:sz="4" w:space="0" w:color="auto"/>
              <w:left w:val="nil"/>
              <w:bottom w:val="single" w:sz="4" w:space="0" w:color="auto"/>
              <w:right w:val="single" w:sz="4" w:space="0" w:color="auto"/>
            </w:tcBorders>
            <w:shd w:val="clear" w:color="000000" w:fill="FFFFFF"/>
            <w:noWrap/>
            <w:vAlign w:val="bottom"/>
            <w:hideMark/>
          </w:tcPr>
          <w:p w14:paraId="0C3A66D3" w14:textId="77777777" w:rsidR="00A33CB6" w:rsidRPr="006324C9" w:rsidRDefault="00A33CB6" w:rsidP="004E0C9A">
            <w:pPr>
              <w:ind w:left="0"/>
              <w:rPr>
                <w:sz w:val="22"/>
                <w:szCs w:val="22"/>
              </w:rPr>
            </w:pPr>
            <w:r w:rsidRPr="006324C9">
              <w:rPr>
                <w:sz w:val="22"/>
                <w:szCs w:val="22"/>
              </w:rPr>
              <w:t> </w:t>
            </w:r>
          </w:p>
        </w:tc>
        <w:tc>
          <w:tcPr>
            <w:tcW w:w="2655" w:type="dxa"/>
            <w:gridSpan w:val="2"/>
            <w:tcBorders>
              <w:top w:val="nil"/>
              <w:left w:val="nil"/>
              <w:bottom w:val="nil"/>
              <w:right w:val="single" w:sz="4" w:space="0" w:color="auto"/>
            </w:tcBorders>
            <w:shd w:val="clear" w:color="000000" w:fill="FFFFFF"/>
            <w:noWrap/>
            <w:vAlign w:val="bottom"/>
            <w:hideMark/>
          </w:tcPr>
          <w:p w14:paraId="37876620" w14:textId="77777777" w:rsidR="00A33CB6" w:rsidRPr="006324C9" w:rsidRDefault="00A33CB6" w:rsidP="004E0C9A">
            <w:pPr>
              <w:ind w:left="0"/>
              <w:rPr>
                <w:sz w:val="20"/>
                <w:szCs w:val="20"/>
              </w:rPr>
            </w:pPr>
            <w:r w:rsidRPr="006324C9">
              <w:rPr>
                <w:sz w:val="20"/>
                <w:szCs w:val="20"/>
              </w:rPr>
              <w:t>Consultant Agreement</w:t>
            </w:r>
          </w:p>
        </w:tc>
        <w:tc>
          <w:tcPr>
            <w:tcW w:w="271" w:type="dxa"/>
            <w:tcBorders>
              <w:top w:val="nil"/>
              <w:left w:val="nil"/>
              <w:bottom w:val="nil"/>
              <w:right w:val="nil"/>
            </w:tcBorders>
            <w:shd w:val="clear" w:color="000000" w:fill="FFFFFF"/>
            <w:noWrap/>
            <w:vAlign w:val="bottom"/>
            <w:hideMark/>
          </w:tcPr>
          <w:p w14:paraId="60659950" w14:textId="77777777" w:rsidR="00A33CB6" w:rsidRPr="00A33CB6" w:rsidRDefault="00A33CB6" w:rsidP="004E0C9A">
            <w:pPr>
              <w:ind w:left="0"/>
            </w:pPr>
            <w:r w:rsidRPr="00A33CB6">
              <w:t> </w:t>
            </w:r>
          </w:p>
        </w:tc>
        <w:tc>
          <w:tcPr>
            <w:tcW w:w="16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B77B0A" w14:textId="77777777" w:rsidR="00A33CB6" w:rsidRPr="006324C9" w:rsidRDefault="00A33CB6" w:rsidP="004E0C9A">
            <w:pPr>
              <w:ind w:left="0"/>
              <w:rPr>
                <w:sz w:val="22"/>
                <w:szCs w:val="22"/>
              </w:rPr>
            </w:pPr>
            <w:r w:rsidRPr="006324C9">
              <w:rPr>
                <w:sz w:val="22"/>
                <w:szCs w:val="22"/>
              </w:rPr>
              <w:t> </w:t>
            </w:r>
          </w:p>
        </w:tc>
        <w:tc>
          <w:tcPr>
            <w:tcW w:w="1235" w:type="dxa"/>
            <w:tcBorders>
              <w:top w:val="single" w:sz="4" w:space="0" w:color="auto"/>
              <w:left w:val="nil"/>
              <w:bottom w:val="single" w:sz="4" w:space="0" w:color="auto"/>
              <w:right w:val="single" w:sz="4" w:space="0" w:color="auto"/>
            </w:tcBorders>
            <w:shd w:val="clear" w:color="000000" w:fill="FFFFFF"/>
            <w:noWrap/>
            <w:vAlign w:val="bottom"/>
            <w:hideMark/>
          </w:tcPr>
          <w:p w14:paraId="7DF7F476" w14:textId="77777777" w:rsidR="00A33CB6" w:rsidRPr="006324C9" w:rsidRDefault="00A33CB6" w:rsidP="004E0C9A">
            <w:pPr>
              <w:ind w:left="0"/>
              <w:rPr>
                <w:sz w:val="22"/>
                <w:szCs w:val="22"/>
              </w:rPr>
            </w:pPr>
            <w:r w:rsidRPr="006324C9">
              <w:rPr>
                <w:sz w:val="22"/>
                <w:szCs w:val="22"/>
              </w:rPr>
              <w:t> </w:t>
            </w:r>
          </w:p>
        </w:tc>
        <w:tc>
          <w:tcPr>
            <w:tcW w:w="2251" w:type="dxa"/>
            <w:gridSpan w:val="2"/>
            <w:tcBorders>
              <w:top w:val="nil"/>
              <w:left w:val="nil"/>
              <w:bottom w:val="nil"/>
              <w:right w:val="single" w:sz="4" w:space="0" w:color="auto"/>
            </w:tcBorders>
            <w:shd w:val="clear" w:color="000000" w:fill="FFFFFF"/>
            <w:noWrap/>
            <w:vAlign w:val="bottom"/>
            <w:hideMark/>
          </w:tcPr>
          <w:p w14:paraId="2C6A5E29" w14:textId="77777777" w:rsidR="00A33CB6" w:rsidRPr="006324C9" w:rsidRDefault="00A33CB6" w:rsidP="004E0C9A">
            <w:pPr>
              <w:ind w:left="0"/>
              <w:rPr>
                <w:sz w:val="20"/>
                <w:szCs w:val="20"/>
              </w:rPr>
            </w:pPr>
            <w:r w:rsidRPr="006324C9">
              <w:rPr>
                <w:sz w:val="20"/>
                <w:szCs w:val="20"/>
              </w:rPr>
              <w:t>Consultant Agreement</w:t>
            </w:r>
          </w:p>
        </w:tc>
      </w:tr>
      <w:tr w:rsidR="00D15AAD" w:rsidRPr="00A33CB6" w14:paraId="109D8468" w14:textId="77777777" w:rsidTr="006324C9">
        <w:trPr>
          <w:trHeight w:val="252"/>
        </w:trPr>
        <w:tc>
          <w:tcPr>
            <w:tcW w:w="1235" w:type="dxa"/>
            <w:tcBorders>
              <w:top w:val="nil"/>
              <w:left w:val="single" w:sz="4" w:space="0" w:color="auto"/>
              <w:bottom w:val="single" w:sz="4" w:space="0" w:color="auto"/>
              <w:right w:val="single" w:sz="4" w:space="0" w:color="auto"/>
            </w:tcBorders>
            <w:shd w:val="clear" w:color="000000" w:fill="FFFFFF"/>
            <w:noWrap/>
            <w:vAlign w:val="bottom"/>
            <w:hideMark/>
          </w:tcPr>
          <w:p w14:paraId="49CA27B2" w14:textId="77777777" w:rsidR="00A33CB6" w:rsidRPr="006324C9" w:rsidRDefault="00A33CB6" w:rsidP="004E0C9A">
            <w:pPr>
              <w:ind w:left="0"/>
              <w:rPr>
                <w:sz w:val="22"/>
                <w:szCs w:val="22"/>
              </w:rPr>
            </w:pPr>
            <w:r w:rsidRPr="006324C9">
              <w:rPr>
                <w:sz w:val="22"/>
                <w:szCs w:val="22"/>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6B61B2D9" w14:textId="77777777" w:rsidR="00A33CB6" w:rsidRPr="006324C9" w:rsidRDefault="00A33CB6" w:rsidP="004E0C9A">
            <w:pPr>
              <w:ind w:left="0"/>
              <w:rPr>
                <w:sz w:val="22"/>
                <w:szCs w:val="22"/>
              </w:rPr>
            </w:pPr>
            <w:r w:rsidRPr="006324C9">
              <w:rPr>
                <w:sz w:val="22"/>
                <w:szCs w:val="22"/>
              </w:rPr>
              <w:t> </w:t>
            </w:r>
          </w:p>
        </w:tc>
        <w:tc>
          <w:tcPr>
            <w:tcW w:w="2655" w:type="dxa"/>
            <w:gridSpan w:val="2"/>
            <w:tcBorders>
              <w:top w:val="nil"/>
              <w:left w:val="nil"/>
              <w:bottom w:val="nil"/>
              <w:right w:val="single" w:sz="4" w:space="0" w:color="auto"/>
            </w:tcBorders>
            <w:shd w:val="clear" w:color="000000" w:fill="FFFFFF"/>
            <w:noWrap/>
            <w:vAlign w:val="bottom"/>
            <w:hideMark/>
          </w:tcPr>
          <w:p w14:paraId="1E173136" w14:textId="77777777" w:rsidR="00A33CB6" w:rsidRPr="006324C9" w:rsidRDefault="00A33CB6" w:rsidP="004E0C9A">
            <w:pPr>
              <w:ind w:left="0"/>
              <w:rPr>
                <w:sz w:val="20"/>
                <w:szCs w:val="20"/>
              </w:rPr>
            </w:pPr>
            <w:r w:rsidRPr="006324C9">
              <w:rPr>
                <w:sz w:val="20"/>
                <w:szCs w:val="20"/>
              </w:rPr>
              <w:t>Request for Proposal</w:t>
            </w:r>
          </w:p>
        </w:tc>
        <w:tc>
          <w:tcPr>
            <w:tcW w:w="271" w:type="dxa"/>
            <w:tcBorders>
              <w:top w:val="nil"/>
              <w:left w:val="nil"/>
              <w:bottom w:val="nil"/>
              <w:right w:val="nil"/>
            </w:tcBorders>
            <w:shd w:val="clear" w:color="000000" w:fill="FFFFFF"/>
            <w:noWrap/>
            <w:vAlign w:val="bottom"/>
            <w:hideMark/>
          </w:tcPr>
          <w:p w14:paraId="7AC79A30" w14:textId="77777777" w:rsidR="00A33CB6" w:rsidRPr="00A33CB6" w:rsidRDefault="00A33CB6" w:rsidP="004E0C9A">
            <w:pPr>
              <w:ind w:left="0"/>
            </w:pPr>
            <w:r w:rsidRPr="00A33CB6">
              <w:t> </w:t>
            </w:r>
          </w:p>
        </w:tc>
        <w:tc>
          <w:tcPr>
            <w:tcW w:w="1643" w:type="dxa"/>
            <w:tcBorders>
              <w:top w:val="nil"/>
              <w:left w:val="single" w:sz="4" w:space="0" w:color="auto"/>
              <w:bottom w:val="single" w:sz="4" w:space="0" w:color="auto"/>
              <w:right w:val="single" w:sz="4" w:space="0" w:color="auto"/>
            </w:tcBorders>
            <w:shd w:val="clear" w:color="000000" w:fill="FFFFFF"/>
            <w:noWrap/>
            <w:vAlign w:val="bottom"/>
            <w:hideMark/>
          </w:tcPr>
          <w:p w14:paraId="56731EC5" w14:textId="77777777" w:rsidR="00A33CB6" w:rsidRPr="006324C9" w:rsidRDefault="00A33CB6" w:rsidP="004E0C9A">
            <w:pPr>
              <w:ind w:left="0"/>
              <w:rPr>
                <w:sz w:val="22"/>
                <w:szCs w:val="22"/>
              </w:rPr>
            </w:pPr>
            <w:r w:rsidRPr="006324C9">
              <w:rPr>
                <w:sz w:val="22"/>
                <w:szCs w:val="22"/>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197044CF" w14:textId="77777777" w:rsidR="00A33CB6" w:rsidRPr="006324C9" w:rsidRDefault="00A33CB6" w:rsidP="004E0C9A">
            <w:pPr>
              <w:ind w:left="0"/>
              <w:rPr>
                <w:sz w:val="22"/>
                <w:szCs w:val="22"/>
              </w:rPr>
            </w:pPr>
            <w:r w:rsidRPr="006324C9">
              <w:rPr>
                <w:sz w:val="22"/>
                <w:szCs w:val="22"/>
              </w:rPr>
              <w:t> </w:t>
            </w:r>
          </w:p>
        </w:tc>
        <w:tc>
          <w:tcPr>
            <w:tcW w:w="2251" w:type="dxa"/>
            <w:gridSpan w:val="2"/>
            <w:tcBorders>
              <w:top w:val="nil"/>
              <w:left w:val="nil"/>
              <w:bottom w:val="nil"/>
              <w:right w:val="single" w:sz="4" w:space="0" w:color="auto"/>
            </w:tcBorders>
            <w:shd w:val="clear" w:color="000000" w:fill="FFFFFF"/>
            <w:noWrap/>
            <w:vAlign w:val="bottom"/>
            <w:hideMark/>
          </w:tcPr>
          <w:p w14:paraId="030C797E" w14:textId="77777777" w:rsidR="00A33CB6" w:rsidRPr="006324C9" w:rsidRDefault="00A33CB6" w:rsidP="004E0C9A">
            <w:pPr>
              <w:ind w:left="0"/>
              <w:rPr>
                <w:sz w:val="20"/>
                <w:szCs w:val="20"/>
              </w:rPr>
            </w:pPr>
            <w:r w:rsidRPr="006324C9">
              <w:rPr>
                <w:sz w:val="20"/>
                <w:szCs w:val="20"/>
              </w:rPr>
              <w:t>Request for Proposal</w:t>
            </w:r>
          </w:p>
        </w:tc>
      </w:tr>
      <w:tr w:rsidR="00A33CB6" w:rsidRPr="00A33CB6" w14:paraId="5239F961" w14:textId="77777777" w:rsidTr="006324C9">
        <w:trPr>
          <w:trHeight w:val="516"/>
        </w:trPr>
        <w:tc>
          <w:tcPr>
            <w:tcW w:w="1235" w:type="dxa"/>
            <w:tcBorders>
              <w:top w:val="nil"/>
              <w:left w:val="single" w:sz="4" w:space="0" w:color="auto"/>
              <w:bottom w:val="single" w:sz="4" w:space="0" w:color="auto"/>
              <w:right w:val="single" w:sz="4" w:space="0" w:color="auto"/>
            </w:tcBorders>
            <w:shd w:val="clear" w:color="000000" w:fill="FFFFFF"/>
            <w:noWrap/>
            <w:vAlign w:val="bottom"/>
            <w:hideMark/>
          </w:tcPr>
          <w:p w14:paraId="05ED5504" w14:textId="77777777" w:rsidR="00A33CB6" w:rsidRPr="006324C9" w:rsidRDefault="00A33CB6" w:rsidP="004E0C9A">
            <w:pPr>
              <w:ind w:left="0"/>
              <w:rPr>
                <w:sz w:val="22"/>
                <w:szCs w:val="22"/>
              </w:rPr>
            </w:pPr>
            <w:r w:rsidRPr="006324C9">
              <w:rPr>
                <w:sz w:val="22"/>
                <w:szCs w:val="22"/>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7CE32CA7" w14:textId="77777777" w:rsidR="00A33CB6" w:rsidRPr="006324C9" w:rsidRDefault="00A33CB6" w:rsidP="004E0C9A">
            <w:pPr>
              <w:ind w:left="0"/>
              <w:rPr>
                <w:sz w:val="22"/>
                <w:szCs w:val="22"/>
              </w:rPr>
            </w:pPr>
            <w:r w:rsidRPr="006324C9">
              <w:rPr>
                <w:sz w:val="22"/>
                <w:szCs w:val="22"/>
              </w:rPr>
              <w:t> </w:t>
            </w:r>
          </w:p>
        </w:tc>
        <w:tc>
          <w:tcPr>
            <w:tcW w:w="2655" w:type="dxa"/>
            <w:gridSpan w:val="2"/>
            <w:tcBorders>
              <w:top w:val="nil"/>
              <w:left w:val="nil"/>
              <w:bottom w:val="nil"/>
              <w:right w:val="single" w:sz="4" w:space="0" w:color="auto"/>
            </w:tcBorders>
            <w:shd w:val="clear" w:color="000000" w:fill="FFFFFF"/>
            <w:vAlign w:val="center"/>
            <w:hideMark/>
          </w:tcPr>
          <w:p w14:paraId="3234F755" w14:textId="77777777" w:rsidR="00A33CB6" w:rsidRPr="006324C9" w:rsidRDefault="00A33CB6" w:rsidP="004E0C9A">
            <w:pPr>
              <w:ind w:left="0"/>
              <w:rPr>
                <w:sz w:val="20"/>
                <w:szCs w:val="20"/>
              </w:rPr>
            </w:pPr>
            <w:r w:rsidRPr="006324C9">
              <w:rPr>
                <w:sz w:val="20"/>
                <w:szCs w:val="20"/>
              </w:rPr>
              <w:t>Appendix A and E (Title VI Assurance)</w:t>
            </w:r>
          </w:p>
        </w:tc>
        <w:tc>
          <w:tcPr>
            <w:tcW w:w="271" w:type="dxa"/>
            <w:tcBorders>
              <w:top w:val="nil"/>
              <w:left w:val="nil"/>
              <w:bottom w:val="nil"/>
              <w:right w:val="nil"/>
            </w:tcBorders>
            <w:shd w:val="clear" w:color="000000" w:fill="FFFFFF"/>
            <w:noWrap/>
            <w:vAlign w:val="bottom"/>
            <w:hideMark/>
          </w:tcPr>
          <w:p w14:paraId="35014AAD" w14:textId="77777777" w:rsidR="00A33CB6" w:rsidRPr="00A33CB6" w:rsidRDefault="00A33CB6" w:rsidP="004E0C9A">
            <w:pPr>
              <w:ind w:left="0"/>
            </w:pPr>
            <w:r w:rsidRPr="00A33CB6">
              <w:t> </w:t>
            </w:r>
          </w:p>
        </w:tc>
        <w:tc>
          <w:tcPr>
            <w:tcW w:w="1643" w:type="dxa"/>
            <w:tcBorders>
              <w:top w:val="nil"/>
              <w:left w:val="single" w:sz="4" w:space="0" w:color="auto"/>
              <w:bottom w:val="single" w:sz="4" w:space="0" w:color="auto"/>
              <w:right w:val="single" w:sz="4" w:space="0" w:color="auto"/>
            </w:tcBorders>
            <w:shd w:val="clear" w:color="000000" w:fill="FFFFFF"/>
            <w:noWrap/>
            <w:vAlign w:val="bottom"/>
            <w:hideMark/>
          </w:tcPr>
          <w:p w14:paraId="0D9A9DAD" w14:textId="77777777" w:rsidR="00A33CB6" w:rsidRPr="006324C9" w:rsidRDefault="00A33CB6" w:rsidP="004E0C9A">
            <w:pPr>
              <w:ind w:left="0"/>
              <w:rPr>
                <w:sz w:val="22"/>
                <w:szCs w:val="22"/>
              </w:rPr>
            </w:pPr>
            <w:r w:rsidRPr="006324C9">
              <w:rPr>
                <w:sz w:val="22"/>
                <w:szCs w:val="22"/>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7F9FAC9E" w14:textId="77777777" w:rsidR="00A33CB6" w:rsidRPr="006324C9" w:rsidRDefault="00A33CB6" w:rsidP="004E0C9A">
            <w:pPr>
              <w:ind w:left="0"/>
              <w:rPr>
                <w:sz w:val="22"/>
                <w:szCs w:val="22"/>
              </w:rPr>
            </w:pPr>
            <w:r w:rsidRPr="006324C9">
              <w:rPr>
                <w:sz w:val="22"/>
                <w:szCs w:val="22"/>
              </w:rPr>
              <w:t> </w:t>
            </w:r>
          </w:p>
        </w:tc>
        <w:tc>
          <w:tcPr>
            <w:tcW w:w="2251" w:type="dxa"/>
            <w:gridSpan w:val="2"/>
            <w:tcBorders>
              <w:top w:val="nil"/>
              <w:left w:val="nil"/>
              <w:bottom w:val="nil"/>
              <w:right w:val="single" w:sz="4" w:space="0" w:color="auto"/>
            </w:tcBorders>
            <w:shd w:val="clear" w:color="000000" w:fill="FFFFFF"/>
            <w:vAlign w:val="center"/>
            <w:hideMark/>
          </w:tcPr>
          <w:p w14:paraId="2BAE2123" w14:textId="77777777" w:rsidR="00A33CB6" w:rsidRPr="006324C9" w:rsidRDefault="00A33CB6" w:rsidP="004E0C9A">
            <w:pPr>
              <w:ind w:left="0"/>
              <w:rPr>
                <w:sz w:val="20"/>
                <w:szCs w:val="20"/>
              </w:rPr>
            </w:pPr>
            <w:r w:rsidRPr="006324C9">
              <w:rPr>
                <w:sz w:val="20"/>
                <w:szCs w:val="20"/>
              </w:rPr>
              <w:t>Appendix A and E (Title VI Assurance)</w:t>
            </w:r>
          </w:p>
        </w:tc>
      </w:tr>
      <w:tr w:rsidR="00D15AAD" w:rsidRPr="00A33CB6" w14:paraId="0EAEB5D4" w14:textId="77777777" w:rsidTr="006324C9">
        <w:trPr>
          <w:trHeight w:val="252"/>
        </w:trPr>
        <w:tc>
          <w:tcPr>
            <w:tcW w:w="1235" w:type="dxa"/>
            <w:tcBorders>
              <w:top w:val="nil"/>
              <w:left w:val="single" w:sz="4" w:space="0" w:color="auto"/>
              <w:bottom w:val="single" w:sz="4" w:space="0" w:color="auto"/>
              <w:right w:val="single" w:sz="4" w:space="0" w:color="auto"/>
            </w:tcBorders>
            <w:shd w:val="clear" w:color="000000" w:fill="FFFFFF"/>
            <w:noWrap/>
            <w:vAlign w:val="bottom"/>
            <w:hideMark/>
          </w:tcPr>
          <w:p w14:paraId="1520EAE3" w14:textId="77777777" w:rsidR="00A33CB6" w:rsidRPr="006324C9" w:rsidRDefault="00A33CB6" w:rsidP="004E0C9A">
            <w:pPr>
              <w:ind w:left="0"/>
              <w:rPr>
                <w:sz w:val="22"/>
                <w:szCs w:val="22"/>
              </w:rPr>
            </w:pPr>
            <w:r w:rsidRPr="006324C9">
              <w:rPr>
                <w:sz w:val="22"/>
                <w:szCs w:val="22"/>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2ADFC87A" w14:textId="77777777" w:rsidR="00A33CB6" w:rsidRPr="006324C9" w:rsidRDefault="00A33CB6" w:rsidP="004E0C9A">
            <w:pPr>
              <w:ind w:left="0"/>
              <w:rPr>
                <w:sz w:val="22"/>
                <w:szCs w:val="22"/>
              </w:rPr>
            </w:pPr>
            <w:r w:rsidRPr="006324C9">
              <w:rPr>
                <w:sz w:val="22"/>
                <w:szCs w:val="22"/>
              </w:rPr>
              <w:t> </w:t>
            </w:r>
          </w:p>
        </w:tc>
        <w:tc>
          <w:tcPr>
            <w:tcW w:w="2655" w:type="dxa"/>
            <w:gridSpan w:val="2"/>
            <w:tcBorders>
              <w:top w:val="nil"/>
              <w:left w:val="nil"/>
              <w:bottom w:val="single" w:sz="4" w:space="0" w:color="auto"/>
              <w:right w:val="single" w:sz="4" w:space="0" w:color="auto"/>
            </w:tcBorders>
            <w:shd w:val="clear" w:color="000000" w:fill="FFFFFF"/>
            <w:noWrap/>
            <w:vAlign w:val="bottom"/>
            <w:hideMark/>
          </w:tcPr>
          <w:p w14:paraId="661ACB22" w14:textId="77777777" w:rsidR="00A33CB6" w:rsidRPr="006324C9" w:rsidRDefault="00A33CB6" w:rsidP="004E0C9A">
            <w:pPr>
              <w:ind w:left="0"/>
              <w:rPr>
                <w:sz w:val="20"/>
                <w:szCs w:val="20"/>
              </w:rPr>
            </w:pPr>
            <w:r w:rsidRPr="006324C9">
              <w:rPr>
                <w:sz w:val="20"/>
                <w:szCs w:val="20"/>
              </w:rPr>
              <w:t>Risk Management Appendix</w:t>
            </w:r>
          </w:p>
        </w:tc>
        <w:tc>
          <w:tcPr>
            <w:tcW w:w="271" w:type="dxa"/>
            <w:tcBorders>
              <w:top w:val="nil"/>
              <w:left w:val="nil"/>
              <w:bottom w:val="nil"/>
              <w:right w:val="nil"/>
            </w:tcBorders>
            <w:shd w:val="clear" w:color="000000" w:fill="FFFFFF"/>
            <w:noWrap/>
            <w:vAlign w:val="bottom"/>
            <w:hideMark/>
          </w:tcPr>
          <w:p w14:paraId="2CEFB6E3" w14:textId="77777777" w:rsidR="00A33CB6" w:rsidRPr="00A33CB6" w:rsidRDefault="00A33CB6" w:rsidP="004E0C9A">
            <w:pPr>
              <w:ind w:left="0"/>
            </w:pPr>
            <w:r w:rsidRPr="00A33CB6">
              <w:t> </w:t>
            </w:r>
          </w:p>
        </w:tc>
        <w:tc>
          <w:tcPr>
            <w:tcW w:w="1643" w:type="dxa"/>
            <w:tcBorders>
              <w:top w:val="nil"/>
              <w:left w:val="single" w:sz="4" w:space="0" w:color="auto"/>
              <w:bottom w:val="single" w:sz="4" w:space="0" w:color="auto"/>
              <w:right w:val="single" w:sz="4" w:space="0" w:color="auto"/>
            </w:tcBorders>
            <w:shd w:val="clear" w:color="000000" w:fill="FFFFFF"/>
            <w:noWrap/>
            <w:vAlign w:val="bottom"/>
            <w:hideMark/>
          </w:tcPr>
          <w:p w14:paraId="0347ECA6" w14:textId="77777777" w:rsidR="00A33CB6" w:rsidRPr="006324C9" w:rsidRDefault="00A33CB6" w:rsidP="004E0C9A">
            <w:pPr>
              <w:ind w:left="0"/>
              <w:rPr>
                <w:sz w:val="22"/>
                <w:szCs w:val="22"/>
              </w:rPr>
            </w:pPr>
            <w:r w:rsidRPr="006324C9">
              <w:rPr>
                <w:sz w:val="22"/>
                <w:szCs w:val="22"/>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794E4909" w14:textId="77777777" w:rsidR="00A33CB6" w:rsidRPr="006324C9" w:rsidRDefault="00A33CB6" w:rsidP="004E0C9A">
            <w:pPr>
              <w:ind w:left="0"/>
              <w:rPr>
                <w:sz w:val="22"/>
                <w:szCs w:val="22"/>
              </w:rPr>
            </w:pPr>
            <w:r w:rsidRPr="006324C9">
              <w:rPr>
                <w:sz w:val="22"/>
                <w:szCs w:val="22"/>
              </w:rPr>
              <w:t> </w:t>
            </w:r>
          </w:p>
        </w:tc>
        <w:tc>
          <w:tcPr>
            <w:tcW w:w="2251" w:type="dxa"/>
            <w:gridSpan w:val="2"/>
            <w:tcBorders>
              <w:top w:val="nil"/>
              <w:left w:val="nil"/>
              <w:bottom w:val="single" w:sz="4" w:space="0" w:color="auto"/>
              <w:right w:val="single" w:sz="4" w:space="0" w:color="auto"/>
            </w:tcBorders>
            <w:shd w:val="clear" w:color="000000" w:fill="FFFFFF"/>
            <w:noWrap/>
            <w:vAlign w:val="bottom"/>
            <w:hideMark/>
          </w:tcPr>
          <w:p w14:paraId="4B54C8F8" w14:textId="77777777" w:rsidR="00A33CB6" w:rsidRPr="006324C9" w:rsidRDefault="00A33CB6" w:rsidP="004E0C9A">
            <w:pPr>
              <w:ind w:left="0"/>
              <w:rPr>
                <w:sz w:val="20"/>
                <w:szCs w:val="20"/>
              </w:rPr>
            </w:pPr>
            <w:r w:rsidRPr="006324C9">
              <w:rPr>
                <w:sz w:val="20"/>
                <w:szCs w:val="20"/>
              </w:rPr>
              <w:t>Risk Management Appendix</w:t>
            </w:r>
          </w:p>
        </w:tc>
      </w:tr>
      <w:tr w:rsidR="00D15AAD" w:rsidRPr="00D15AAD" w14:paraId="7D95E3E3" w14:textId="77777777" w:rsidTr="006324C9">
        <w:trPr>
          <w:trHeight w:val="252"/>
        </w:trPr>
        <w:tc>
          <w:tcPr>
            <w:tcW w:w="4417" w:type="dxa"/>
            <w:gridSpan w:val="3"/>
            <w:tcBorders>
              <w:top w:val="single" w:sz="4" w:space="0" w:color="auto"/>
              <w:left w:val="single" w:sz="4" w:space="0" w:color="auto"/>
              <w:bottom w:val="nil"/>
              <w:right w:val="single" w:sz="4" w:space="0" w:color="auto"/>
            </w:tcBorders>
            <w:shd w:val="clear" w:color="000000" w:fill="FFFFFF"/>
            <w:noWrap/>
            <w:vAlign w:val="bottom"/>
            <w:hideMark/>
          </w:tcPr>
          <w:p w14:paraId="785530BA" w14:textId="77777777" w:rsidR="00D15AAD" w:rsidRPr="003D0594" w:rsidRDefault="00D15AAD" w:rsidP="004E0C9A">
            <w:pPr>
              <w:ind w:left="0"/>
              <w:rPr>
                <w:sz w:val="20"/>
                <w:szCs w:val="20"/>
              </w:rPr>
            </w:pPr>
            <w:r w:rsidRPr="003D0594">
              <w:rPr>
                <w:sz w:val="20"/>
                <w:szCs w:val="20"/>
              </w:rPr>
              <w:t>Signature</w:t>
            </w:r>
          </w:p>
        </w:tc>
        <w:tc>
          <w:tcPr>
            <w:tcW w:w="708" w:type="dxa"/>
            <w:tcBorders>
              <w:top w:val="single" w:sz="4" w:space="0" w:color="auto"/>
              <w:left w:val="nil"/>
              <w:bottom w:val="nil"/>
              <w:right w:val="single" w:sz="4" w:space="0" w:color="auto"/>
            </w:tcBorders>
            <w:shd w:val="clear" w:color="000000" w:fill="FFFFFF"/>
            <w:noWrap/>
            <w:vAlign w:val="bottom"/>
            <w:hideMark/>
          </w:tcPr>
          <w:p w14:paraId="773B5384" w14:textId="77777777" w:rsidR="00D15AAD" w:rsidRPr="003D0594" w:rsidRDefault="00D15AAD" w:rsidP="004E0C9A">
            <w:pPr>
              <w:ind w:left="0"/>
              <w:rPr>
                <w:sz w:val="20"/>
                <w:szCs w:val="20"/>
              </w:rPr>
            </w:pPr>
            <w:r w:rsidRPr="003D0594">
              <w:rPr>
                <w:sz w:val="20"/>
                <w:szCs w:val="20"/>
              </w:rPr>
              <w:t>Date</w:t>
            </w:r>
          </w:p>
        </w:tc>
        <w:tc>
          <w:tcPr>
            <w:tcW w:w="271" w:type="dxa"/>
            <w:tcBorders>
              <w:top w:val="nil"/>
              <w:left w:val="nil"/>
              <w:bottom w:val="nil"/>
              <w:right w:val="nil"/>
            </w:tcBorders>
            <w:shd w:val="clear" w:color="000000" w:fill="FFFFFF"/>
            <w:noWrap/>
            <w:vAlign w:val="bottom"/>
            <w:hideMark/>
          </w:tcPr>
          <w:p w14:paraId="39FFEA36" w14:textId="77777777" w:rsidR="00D15AAD" w:rsidRPr="00D15AAD" w:rsidRDefault="00D15AAD" w:rsidP="004E0C9A">
            <w:pPr>
              <w:ind w:left="0"/>
            </w:pPr>
            <w:r w:rsidRPr="00D15AAD">
              <w:t> </w:t>
            </w:r>
          </w:p>
        </w:tc>
        <w:tc>
          <w:tcPr>
            <w:tcW w:w="4744" w:type="dxa"/>
            <w:gridSpan w:val="3"/>
            <w:tcBorders>
              <w:top w:val="single" w:sz="4" w:space="0" w:color="auto"/>
              <w:left w:val="single" w:sz="4" w:space="0" w:color="auto"/>
              <w:bottom w:val="nil"/>
              <w:right w:val="single" w:sz="4" w:space="0" w:color="auto"/>
            </w:tcBorders>
            <w:shd w:val="clear" w:color="000000" w:fill="FFFFFF"/>
            <w:noWrap/>
            <w:vAlign w:val="bottom"/>
            <w:hideMark/>
          </w:tcPr>
          <w:p w14:paraId="29C8EBD1" w14:textId="77777777" w:rsidR="00D15AAD" w:rsidRPr="003D0594" w:rsidRDefault="00D15AAD" w:rsidP="004E0C9A">
            <w:pPr>
              <w:ind w:left="0"/>
              <w:rPr>
                <w:sz w:val="20"/>
                <w:szCs w:val="20"/>
              </w:rPr>
            </w:pPr>
            <w:r w:rsidRPr="003D0594">
              <w:rPr>
                <w:sz w:val="20"/>
                <w:szCs w:val="20"/>
              </w:rPr>
              <w:t>Signature</w:t>
            </w:r>
          </w:p>
        </w:tc>
        <w:tc>
          <w:tcPr>
            <w:tcW w:w="385" w:type="dxa"/>
            <w:tcBorders>
              <w:top w:val="single" w:sz="4" w:space="0" w:color="auto"/>
              <w:left w:val="nil"/>
              <w:bottom w:val="nil"/>
              <w:right w:val="single" w:sz="4" w:space="0" w:color="auto"/>
            </w:tcBorders>
            <w:shd w:val="clear" w:color="000000" w:fill="FFFFFF"/>
            <w:noWrap/>
            <w:vAlign w:val="bottom"/>
            <w:hideMark/>
          </w:tcPr>
          <w:p w14:paraId="1C0B6E5F" w14:textId="77777777" w:rsidR="00D15AAD" w:rsidRPr="003D0594" w:rsidRDefault="00D15AAD" w:rsidP="004E0C9A">
            <w:pPr>
              <w:ind w:left="0"/>
              <w:rPr>
                <w:sz w:val="20"/>
                <w:szCs w:val="20"/>
              </w:rPr>
            </w:pPr>
            <w:r w:rsidRPr="003D0594">
              <w:rPr>
                <w:sz w:val="20"/>
                <w:szCs w:val="20"/>
              </w:rPr>
              <w:t>Date</w:t>
            </w:r>
          </w:p>
        </w:tc>
      </w:tr>
      <w:tr w:rsidR="00D15AAD" w:rsidRPr="00D15AAD" w14:paraId="6D13C84F" w14:textId="77777777" w:rsidTr="006324C9">
        <w:trPr>
          <w:trHeight w:val="360"/>
        </w:trPr>
        <w:tc>
          <w:tcPr>
            <w:tcW w:w="4417"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7A547033" w14:textId="77777777" w:rsidR="00D15AAD" w:rsidRPr="00D15AAD" w:rsidRDefault="00D15AAD" w:rsidP="004E0C9A">
            <w:pPr>
              <w:ind w:left="0"/>
            </w:pPr>
            <w:r w:rsidRPr="00D15AAD">
              <w:t> </w:t>
            </w:r>
          </w:p>
        </w:tc>
        <w:tc>
          <w:tcPr>
            <w:tcW w:w="708" w:type="dxa"/>
            <w:tcBorders>
              <w:top w:val="nil"/>
              <w:left w:val="nil"/>
              <w:bottom w:val="single" w:sz="4" w:space="0" w:color="auto"/>
              <w:right w:val="single" w:sz="4" w:space="0" w:color="auto"/>
            </w:tcBorders>
            <w:shd w:val="clear" w:color="000000" w:fill="D9D9D9"/>
            <w:noWrap/>
            <w:vAlign w:val="bottom"/>
            <w:hideMark/>
          </w:tcPr>
          <w:p w14:paraId="146154BC" w14:textId="77777777" w:rsidR="00D15AAD" w:rsidRPr="00D15AAD" w:rsidRDefault="00D15AAD" w:rsidP="004E0C9A">
            <w:pPr>
              <w:ind w:left="0"/>
            </w:pPr>
            <w:r w:rsidRPr="00D15AAD">
              <w:t> </w:t>
            </w:r>
          </w:p>
        </w:tc>
        <w:tc>
          <w:tcPr>
            <w:tcW w:w="271" w:type="dxa"/>
            <w:tcBorders>
              <w:top w:val="nil"/>
              <w:left w:val="nil"/>
              <w:bottom w:val="nil"/>
              <w:right w:val="nil"/>
            </w:tcBorders>
            <w:shd w:val="clear" w:color="000000" w:fill="FFFFFF"/>
            <w:noWrap/>
            <w:vAlign w:val="bottom"/>
            <w:hideMark/>
          </w:tcPr>
          <w:p w14:paraId="74FC5BAD" w14:textId="77777777" w:rsidR="00D15AAD" w:rsidRPr="00D15AAD" w:rsidRDefault="00D15AAD" w:rsidP="004E0C9A">
            <w:pPr>
              <w:ind w:left="0"/>
            </w:pPr>
            <w:r w:rsidRPr="00D15AAD">
              <w:t> </w:t>
            </w:r>
          </w:p>
        </w:tc>
        <w:tc>
          <w:tcPr>
            <w:tcW w:w="4744"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10560292" w14:textId="77777777" w:rsidR="00D15AAD" w:rsidRPr="00D15AAD" w:rsidRDefault="00D15AAD" w:rsidP="004E0C9A">
            <w:pPr>
              <w:ind w:left="0"/>
            </w:pPr>
            <w:r w:rsidRPr="00D15AAD">
              <w:t> </w:t>
            </w:r>
          </w:p>
        </w:tc>
        <w:tc>
          <w:tcPr>
            <w:tcW w:w="385" w:type="dxa"/>
            <w:tcBorders>
              <w:top w:val="nil"/>
              <w:left w:val="nil"/>
              <w:bottom w:val="single" w:sz="4" w:space="0" w:color="auto"/>
              <w:right w:val="single" w:sz="4" w:space="0" w:color="auto"/>
            </w:tcBorders>
            <w:shd w:val="clear" w:color="000000" w:fill="D9D9D9"/>
            <w:noWrap/>
            <w:vAlign w:val="bottom"/>
            <w:hideMark/>
          </w:tcPr>
          <w:p w14:paraId="4EAD654B" w14:textId="77777777" w:rsidR="00D15AAD" w:rsidRPr="00D15AAD" w:rsidRDefault="00D15AAD" w:rsidP="004E0C9A">
            <w:pPr>
              <w:ind w:left="0"/>
            </w:pPr>
            <w:r w:rsidRPr="00D15AAD">
              <w:t> </w:t>
            </w:r>
          </w:p>
        </w:tc>
      </w:tr>
    </w:tbl>
    <w:p w14:paraId="502ACCCD" w14:textId="77777777" w:rsidR="00020527" w:rsidRPr="00431837" w:rsidRDefault="008F7790" w:rsidP="00431837">
      <w:pPr>
        <w:ind w:left="0"/>
        <w:jc w:val="center"/>
        <w:rPr>
          <w:b/>
          <w:bCs/>
          <w:sz w:val="22"/>
          <w:szCs w:val="22"/>
          <w:lang w:bidi="en-US"/>
        </w:rPr>
      </w:pPr>
      <w:r w:rsidRPr="00431837">
        <w:rPr>
          <w:b/>
          <w:bCs/>
          <w:sz w:val="22"/>
          <w:szCs w:val="22"/>
          <w:lang w:bidi="en-US"/>
        </w:rPr>
        <w:t xml:space="preserve">Item Covered </w:t>
      </w:r>
      <w:proofErr w:type="gramStart"/>
      <w:r w:rsidRPr="00431837">
        <w:rPr>
          <w:b/>
          <w:bCs/>
          <w:sz w:val="22"/>
          <w:szCs w:val="22"/>
          <w:lang w:bidi="en-US"/>
        </w:rPr>
        <w:t>By</w:t>
      </w:r>
      <w:proofErr w:type="gramEnd"/>
      <w:r w:rsidRPr="00431837">
        <w:rPr>
          <w:b/>
          <w:bCs/>
          <w:sz w:val="22"/>
          <w:szCs w:val="22"/>
          <w:lang w:bidi="en-US"/>
        </w:rPr>
        <w:t xml:space="preserve"> Subcontract</w:t>
      </w:r>
    </w:p>
    <w:tbl>
      <w:tblPr>
        <w:tblW w:w="10345" w:type="dxa"/>
        <w:tblLook w:val="04A0" w:firstRow="1" w:lastRow="0" w:firstColumn="1" w:lastColumn="0" w:noHBand="0" w:noVBand="1"/>
        <w:tblCaption w:val="Item Covered by Subconsultant"/>
        <w:tblDescription w:val="Table requesting a description of work and associated costs for the subconsultant"/>
      </w:tblPr>
      <w:tblGrid>
        <w:gridCol w:w="6115"/>
        <w:gridCol w:w="2070"/>
        <w:gridCol w:w="2160"/>
      </w:tblGrid>
      <w:tr w:rsidR="00AF07A8" w:rsidRPr="00AF07A8" w14:paraId="4B3E04FA" w14:textId="77777777" w:rsidTr="00C00C6E">
        <w:trPr>
          <w:trHeight w:val="288"/>
        </w:trPr>
        <w:tc>
          <w:tcPr>
            <w:tcW w:w="61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85A52" w14:textId="77777777" w:rsidR="00AF07A8" w:rsidRPr="00106E3D" w:rsidRDefault="00AF07A8" w:rsidP="00106E3D">
            <w:pPr>
              <w:ind w:left="0"/>
              <w:jc w:val="center"/>
              <w:rPr>
                <w:sz w:val="20"/>
                <w:szCs w:val="20"/>
              </w:rPr>
            </w:pPr>
            <w:r w:rsidRPr="00106E3D">
              <w:rPr>
                <w:sz w:val="20"/>
                <w:szCs w:val="20"/>
              </w:rPr>
              <w:t>Work Description</w:t>
            </w:r>
          </w:p>
        </w:tc>
        <w:tc>
          <w:tcPr>
            <w:tcW w:w="2070" w:type="dxa"/>
            <w:tcBorders>
              <w:top w:val="single" w:sz="4" w:space="0" w:color="auto"/>
              <w:left w:val="nil"/>
              <w:bottom w:val="single" w:sz="4" w:space="0" w:color="auto"/>
              <w:right w:val="single" w:sz="4" w:space="0" w:color="auto"/>
            </w:tcBorders>
            <w:shd w:val="clear" w:color="000000" w:fill="FFFFFF"/>
            <w:noWrap/>
            <w:vAlign w:val="center"/>
            <w:hideMark/>
          </w:tcPr>
          <w:p w14:paraId="7BFDAF90" w14:textId="77777777" w:rsidR="00AF07A8" w:rsidRPr="00106E3D" w:rsidRDefault="00AF07A8" w:rsidP="00106E3D">
            <w:pPr>
              <w:ind w:left="0"/>
              <w:jc w:val="center"/>
              <w:rPr>
                <w:sz w:val="20"/>
                <w:szCs w:val="20"/>
              </w:rPr>
            </w:pPr>
            <w:r w:rsidRPr="00106E3D">
              <w:rPr>
                <w:sz w:val="20"/>
                <w:szCs w:val="20"/>
              </w:rPr>
              <w:t>Unit</w:t>
            </w:r>
          </w:p>
        </w:tc>
        <w:tc>
          <w:tcPr>
            <w:tcW w:w="2160" w:type="dxa"/>
            <w:tcBorders>
              <w:top w:val="single" w:sz="4" w:space="0" w:color="auto"/>
              <w:left w:val="nil"/>
              <w:bottom w:val="single" w:sz="4" w:space="0" w:color="auto"/>
              <w:right w:val="single" w:sz="4" w:space="0" w:color="auto"/>
            </w:tcBorders>
            <w:shd w:val="clear" w:color="000000" w:fill="FFFFFF"/>
            <w:noWrap/>
            <w:vAlign w:val="center"/>
            <w:hideMark/>
          </w:tcPr>
          <w:p w14:paraId="4E4514DB" w14:textId="77777777" w:rsidR="00AF07A8" w:rsidRPr="00106E3D" w:rsidRDefault="00AF07A8" w:rsidP="00106E3D">
            <w:pPr>
              <w:ind w:left="0"/>
              <w:jc w:val="center"/>
              <w:rPr>
                <w:sz w:val="20"/>
                <w:szCs w:val="20"/>
              </w:rPr>
            </w:pPr>
            <w:r w:rsidRPr="00106E3D">
              <w:rPr>
                <w:sz w:val="20"/>
                <w:szCs w:val="20"/>
              </w:rPr>
              <w:t>Amount</w:t>
            </w:r>
          </w:p>
        </w:tc>
      </w:tr>
      <w:tr w:rsidR="00AF07A8" w:rsidRPr="00AF07A8" w14:paraId="1DE9153F" w14:textId="77777777" w:rsidTr="00C00C6E">
        <w:trPr>
          <w:trHeight w:val="288"/>
        </w:trPr>
        <w:tc>
          <w:tcPr>
            <w:tcW w:w="6115" w:type="dxa"/>
            <w:tcBorders>
              <w:top w:val="nil"/>
              <w:left w:val="single" w:sz="4" w:space="0" w:color="auto"/>
              <w:bottom w:val="single" w:sz="4" w:space="0" w:color="auto"/>
              <w:right w:val="single" w:sz="4" w:space="0" w:color="auto"/>
            </w:tcBorders>
            <w:shd w:val="clear" w:color="000000" w:fill="FFFFFF"/>
            <w:noWrap/>
            <w:vAlign w:val="bottom"/>
            <w:hideMark/>
          </w:tcPr>
          <w:p w14:paraId="2551C87C" w14:textId="77777777" w:rsidR="00AF07A8" w:rsidRPr="00106E3D" w:rsidRDefault="00AF07A8" w:rsidP="004E0C9A">
            <w:pPr>
              <w:ind w:left="0"/>
              <w:rPr>
                <w:sz w:val="22"/>
                <w:szCs w:val="22"/>
              </w:rPr>
            </w:pPr>
            <w:r w:rsidRPr="00106E3D">
              <w:rPr>
                <w:sz w:val="22"/>
                <w:szCs w:val="22"/>
              </w:rPr>
              <w:t>Project Support</w:t>
            </w:r>
          </w:p>
        </w:tc>
        <w:tc>
          <w:tcPr>
            <w:tcW w:w="2070" w:type="dxa"/>
            <w:tcBorders>
              <w:top w:val="nil"/>
              <w:left w:val="nil"/>
              <w:bottom w:val="single" w:sz="4" w:space="0" w:color="auto"/>
              <w:right w:val="single" w:sz="4" w:space="0" w:color="auto"/>
            </w:tcBorders>
            <w:shd w:val="clear" w:color="000000" w:fill="FFFFFF"/>
            <w:noWrap/>
            <w:vAlign w:val="bottom"/>
            <w:hideMark/>
          </w:tcPr>
          <w:p w14:paraId="4D84F278" w14:textId="77777777" w:rsidR="00AF07A8" w:rsidRPr="00106E3D" w:rsidRDefault="00AF07A8" w:rsidP="00106E3D">
            <w:pPr>
              <w:ind w:left="0"/>
              <w:jc w:val="center"/>
              <w:rPr>
                <w:sz w:val="20"/>
                <w:szCs w:val="20"/>
              </w:rPr>
            </w:pPr>
            <w:r w:rsidRPr="00106E3D">
              <w:rPr>
                <w:sz w:val="20"/>
                <w:szCs w:val="20"/>
              </w:rPr>
              <w:t>Contract</w:t>
            </w:r>
          </w:p>
        </w:tc>
        <w:tc>
          <w:tcPr>
            <w:tcW w:w="2160" w:type="dxa"/>
            <w:tcBorders>
              <w:top w:val="nil"/>
              <w:left w:val="nil"/>
              <w:bottom w:val="single" w:sz="4" w:space="0" w:color="auto"/>
              <w:right w:val="single" w:sz="4" w:space="0" w:color="auto"/>
            </w:tcBorders>
            <w:shd w:val="clear" w:color="000000" w:fill="FFFFFF"/>
            <w:noWrap/>
            <w:vAlign w:val="bottom"/>
            <w:hideMark/>
          </w:tcPr>
          <w:p w14:paraId="0056D2FE" w14:textId="77777777" w:rsidR="00AF07A8" w:rsidRPr="00106E3D" w:rsidRDefault="00AF07A8" w:rsidP="00106E3D">
            <w:pPr>
              <w:ind w:left="0"/>
              <w:jc w:val="right"/>
              <w:rPr>
                <w:sz w:val="20"/>
                <w:szCs w:val="20"/>
              </w:rPr>
            </w:pPr>
            <w:r w:rsidRPr="00106E3D">
              <w:rPr>
                <w:sz w:val="20"/>
                <w:szCs w:val="20"/>
              </w:rPr>
              <w:t>$0</w:t>
            </w:r>
          </w:p>
        </w:tc>
      </w:tr>
      <w:tr w:rsidR="00AF07A8" w:rsidRPr="00AF07A8" w14:paraId="33C4545B" w14:textId="77777777" w:rsidTr="00C00C6E">
        <w:trPr>
          <w:trHeight w:val="288"/>
        </w:trPr>
        <w:tc>
          <w:tcPr>
            <w:tcW w:w="6115" w:type="dxa"/>
            <w:tcBorders>
              <w:top w:val="nil"/>
              <w:left w:val="single" w:sz="4" w:space="0" w:color="auto"/>
              <w:bottom w:val="single" w:sz="4" w:space="0" w:color="auto"/>
              <w:right w:val="single" w:sz="4" w:space="0" w:color="auto"/>
            </w:tcBorders>
            <w:shd w:val="clear" w:color="000000" w:fill="FFFFFF"/>
            <w:noWrap/>
            <w:vAlign w:val="bottom"/>
            <w:hideMark/>
          </w:tcPr>
          <w:p w14:paraId="11E0C37E" w14:textId="77777777" w:rsidR="00AF07A8" w:rsidRPr="00106E3D" w:rsidRDefault="00AF07A8" w:rsidP="004E0C9A">
            <w:pPr>
              <w:ind w:left="0"/>
              <w:rPr>
                <w:sz w:val="20"/>
                <w:szCs w:val="20"/>
              </w:rPr>
            </w:pPr>
            <w:r w:rsidRPr="00106E3D">
              <w:rPr>
                <w:sz w:val="20"/>
                <w:szCs w:val="20"/>
              </w:rPr>
              <w:t>Public Engagement</w:t>
            </w:r>
          </w:p>
        </w:tc>
        <w:tc>
          <w:tcPr>
            <w:tcW w:w="2070" w:type="dxa"/>
            <w:tcBorders>
              <w:top w:val="nil"/>
              <w:left w:val="nil"/>
              <w:bottom w:val="single" w:sz="4" w:space="0" w:color="auto"/>
              <w:right w:val="single" w:sz="4" w:space="0" w:color="auto"/>
            </w:tcBorders>
            <w:shd w:val="clear" w:color="000000" w:fill="FFFFFF"/>
            <w:noWrap/>
            <w:vAlign w:val="bottom"/>
            <w:hideMark/>
          </w:tcPr>
          <w:p w14:paraId="76B88413" w14:textId="77777777" w:rsidR="00AF07A8" w:rsidRPr="00106E3D" w:rsidRDefault="00AF07A8" w:rsidP="00106E3D">
            <w:pPr>
              <w:ind w:left="0"/>
              <w:jc w:val="center"/>
              <w:rPr>
                <w:sz w:val="20"/>
                <w:szCs w:val="20"/>
              </w:rPr>
            </w:pPr>
            <w:r w:rsidRPr="00106E3D">
              <w:rPr>
                <w:sz w:val="20"/>
                <w:szCs w:val="20"/>
              </w:rPr>
              <w:t>Contract</w:t>
            </w:r>
          </w:p>
        </w:tc>
        <w:tc>
          <w:tcPr>
            <w:tcW w:w="2160" w:type="dxa"/>
            <w:tcBorders>
              <w:top w:val="nil"/>
              <w:left w:val="nil"/>
              <w:bottom w:val="single" w:sz="4" w:space="0" w:color="auto"/>
              <w:right w:val="single" w:sz="4" w:space="0" w:color="auto"/>
            </w:tcBorders>
            <w:shd w:val="clear" w:color="000000" w:fill="FFFFFF"/>
            <w:noWrap/>
            <w:vAlign w:val="bottom"/>
            <w:hideMark/>
          </w:tcPr>
          <w:p w14:paraId="1FAFBBCC" w14:textId="77777777" w:rsidR="00AF07A8" w:rsidRPr="00106E3D" w:rsidRDefault="00AF07A8" w:rsidP="00106E3D">
            <w:pPr>
              <w:ind w:left="0"/>
              <w:jc w:val="right"/>
              <w:rPr>
                <w:sz w:val="20"/>
                <w:szCs w:val="20"/>
              </w:rPr>
            </w:pPr>
            <w:r w:rsidRPr="00106E3D">
              <w:rPr>
                <w:sz w:val="20"/>
                <w:szCs w:val="20"/>
              </w:rPr>
              <w:t>$0</w:t>
            </w:r>
          </w:p>
        </w:tc>
      </w:tr>
      <w:tr w:rsidR="00AF07A8" w:rsidRPr="00AF07A8" w14:paraId="3CD04B9D" w14:textId="77777777" w:rsidTr="00C00C6E">
        <w:trPr>
          <w:trHeight w:val="288"/>
        </w:trPr>
        <w:tc>
          <w:tcPr>
            <w:tcW w:w="6115" w:type="dxa"/>
            <w:tcBorders>
              <w:top w:val="nil"/>
              <w:left w:val="nil"/>
              <w:bottom w:val="nil"/>
              <w:right w:val="nil"/>
            </w:tcBorders>
            <w:shd w:val="clear" w:color="000000" w:fill="FFFFFF"/>
            <w:noWrap/>
            <w:vAlign w:val="bottom"/>
            <w:hideMark/>
          </w:tcPr>
          <w:p w14:paraId="0DE4F955" w14:textId="77777777" w:rsidR="00AF07A8" w:rsidRPr="00AF07A8" w:rsidRDefault="00AF07A8" w:rsidP="004E0C9A">
            <w:pPr>
              <w:ind w:left="0"/>
            </w:pPr>
            <w:r w:rsidRPr="00AF07A8">
              <w:t> </w:t>
            </w:r>
          </w:p>
        </w:tc>
        <w:tc>
          <w:tcPr>
            <w:tcW w:w="2070" w:type="dxa"/>
            <w:tcBorders>
              <w:top w:val="nil"/>
              <w:left w:val="single" w:sz="4" w:space="0" w:color="auto"/>
              <w:bottom w:val="single" w:sz="4" w:space="0" w:color="auto"/>
              <w:right w:val="nil"/>
            </w:tcBorders>
            <w:shd w:val="clear" w:color="000000" w:fill="FFFFFF"/>
            <w:noWrap/>
            <w:vAlign w:val="bottom"/>
            <w:hideMark/>
          </w:tcPr>
          <w:p w14:paraId="243DF64A" w14:textId="77777777" w:rsidR="00AF07A8" w:rsidRPr="00106E3D" w:rsidRDefault="00AF07A8" w:rsidP="00106E3D">
            <w:pPr>
              <w:ind w:left="0"/>
              <w:jc w:val="right"/>
              <w:rPr>
                <w:b/>
                <w:bCs/>
                <w:sz w:val="20"/>
                <w:szCs w:val="20"/>
              </w:rPr>
            </w:pPr>
            <w:r w:rsidRPr="00106E3D">
              <w:rPr>
                <w:b/>
                <w:bCs/>
                <w:sz w:val="20"/>
                <w:szCs w:val="20"/>
              </w:rPr>
              <w:t>Total</w:t>
            </w:r>
          </w:p>
        </w:tc>
        <w:tc>
          <w:tcPr>
            <w:tcW w:w="2160" w:type="dxa"/>
            <w:tcBorders>
              <w:top w:val="nil"/>
              <w:left w:val="nil"/>
              <w:bottom w:val="single" w:sz="4" w:space="0" w:color="auto"/>
              <w:right w:val="single" w:sz="4" w:space="0" w:color="auto"/>
            </w:tcBorders>
            <w:shd w:val="clear" w:color="000000" w:fill="FFFFFF"/>
            <w:noWrap/>
            <w:vAlign w:val="bottom"/>
            <w:hideMark/>
          </w:tcPr>
          <w:p w14:paraId="781E4880" w14:textId="77777777" w:rsidR="00AF07A8" w:rsidRPr="00106E3D" w:rsidRDefault="00AF07A8" w:rsidP="00106E3D">
            <w:pPr>
              <w:ind w:left="0"/>
              <w:jc w:val="right"/>
              <w:rPr>
                <w:sz w:val="20"/>
                <w:szCs w:val="20"/>
              </w:rPr>
            </w:pPr>
            <w:r w:rsidRPr="00106E3D">
              <w:rPr>
                <w:sz w:val="20"/>
                <w:szCs w:val="20"/>
              </w:rPr>
              <w:t>$0</w:t>
            </w:r>
          </w:p>
        </w:tc>
      </w:tr>
    </w:tbl>
    <w:p w14:paraId="7E86991A" w14:textId="77777777" w:rsidR="008948A4" w:rsidRPr="00106E3D" w:rsidRDefault="008E7E02" w:rsidP="004E0C9A">
      <w:pPr>
        <w:ind w:left="0"/>
        <w:rPr>
          <w:b/>
          <w:bCs/>
          <w:sz w:val="22"/>
          <w:szCs w:val="22"/>
          <w:lang w:bidi="en-US"/>
        </w:rPr>
      </w:pPr>
      <w:r w:rsidRPr="00106E3D">
        <w:rPr>
          <w:b/>
          <w:bCs/>
          <w:sz w:val="22"/>
          <w:szCs w:val="22"/>
          <w:lang w:bidi="en-US"/>
        </w:rPr>
        <w:t xml:space="preserve">Prime Consultant: Submit original form to Consultant </w:t>
      </w:r>
      <w:r w:rsidR="00184280" w:rsidRPr="00106E3D">
        <w:rPr>
          <w:b/>
          <w:bCs/>
          <w:sz w:val="22"/>
          <w:szCs w:val="22"/>
          <w:lang w:bidi="en-US"/>
        </w:rPr>
        <w:t>Administrative Services</w:t>
      </w:r>
    </w:p>
    <w:tbl>
      <w:tblPr>
        <w:tblW w:w="10345" w:type="dxa"/>
        <w:tblLook w:val="04A0" w:firstRow="1" w:lastRow="0" w:firstColumn="1" w:lastColumn="0" w:noHBand="0" w:noVBand="1"/>
        <w:tblCaption w:val="Prime Consultant: Submit Origional Form to Consultant Administrative Services"/>
        <w:tblDescription w:val="Table with CAS contract manager name and percentage of project to be performed by subconsultant"/>
      </w:tblPr>
      <w:tblGrid>
        <w:gridCol w:w="3776"/>
        <w:gridCol w:w="1169"/>
        <w:gridCol w:w="2700"/>
        <w:gridCol w:w="2700"/>
      </w:tblGrid>
      <w:tr w:rsidR="0081475E" w:rsidRPr="0081475E" w14:paraId="18776062" w14:textId="77777777" w:rsidTr="0070000E">
        <w:trPr>
          <w:trHeight w:val="288"/>
        </w:trPr>
        <w:tc>
          <w:tcPr>
            <w:tcW w:w="10345" w:type="dxa"/>
            <w:gridSpan w:val="4"/>
            <w:tcBorders>
              <w:top w:val="single" w:sz="4" w:space="0" w:color="auto"/>
              <w:left w:val="single" w:sz="4" w:space="0" w:color="auto"/>
              <w:bottom w:val="single" w:sz="4" w:space="0" w:color="auto"/>
              <w:right w:val="single" w:sz="4" w:space="0" w:color="000000"/>
            </w:tcBorders>
            <w:noWrap/>
            <w:vAlign w:val="bottom"/>
            <w:hideMark/>
          </w:tcPr>
          <w:p w14:paraId="51572D72" w14:textId="77777777" w:rsidR="0081475E" w:rsidRPr="00106E3D" w:rsidRDefault="0081475E" w:rsidP="00106E3D">
            <w:pPr>
              <w:ind w:left="0"/>
              <w:jc w:val="center"/>
              <w:rPr>
                <w:b/>
                <w:bCs/>
                <w:sz w:val="20"/>
                <w:szCs w:val="20"/>
              </w:rPr>
            </w:pPr>
            <w:r w:rsidRPr="00106E3D">
              <w:rPr>
                <w:b/>
                <w:bCs/>
                <w:sz w:val="20"/>
                <w:szCs w:val="20"/>
              </w:rPr>
              <w:t>NDDOT Use Only</w:t>
            </w:r>
          </w:p>
        </w:tc>
      </w:tr>
      <w:tr w:rsidR="0081475E" w:rsidRPr="0081475E" w14:paraId="4AAD7CCC" w14:textId="77777777" w:rsidTr="0070000E">
        <w:trPr>
          <w:trHeight w:val="288"/>
        </w:trPr>
        <w:tc>
          <w:tcPr>
            <w:tcW w:w="3776" w:type="dxa"/>
            <w:tcBorders>
              <w:top w:val="nil"/>
              <w:left w:val="single" w:sz="4" w:space="0" w:color="auto"/>
              <w:bottom w:val="nil"/>
              <w:right w:val="single" w:sz="4" w:space="0" w:color="auto"/>
            </w:tcBorders>
            <w:noWrap/>
            <w:vAlign w:val="bottom"/>
            <w:hideMark/>
          </w:tcPr>
          <w:p w14:paraId="36B94DA5" w14:textId="77777777" w:rsidR="0081475E" w:rsidRPr="00106E3D" w:rsidRDefault="0081475E" w:rsidP="004E0C9A">
            <w:pPr>
              <w:ind w:left="0"/>
              <w:rPr>
                <w:sz w:val="20"/>
                <w:szCs w:val="20"/>
              </w:rPr>
            </w:pPr>
            <w:r w:rsidRPr="00106E3D">
              <w:rPr>
                <w:sz w:val="20"/>
                <w:szCs w:val="20"/>
              </w:rPr>
              <w:t>Approved: CAS or Contract Manager</w:t>
            </w:r>
          </w:p>
        </w:tc>
        <w:tc>
          <w:tcPr>
            <w:tcW w:w="1169" w:type="dxa"/>
            <w:tcBorders>
              <w:top w:val="nil"/>
              <w:left w:val="nil"/>
              <w:bottom w:val="nil"/>
              <w:right w:val="single" w:sz="4" w:space="0" w:color="auto"/>
            </w:tcBorders>
            <w:noWrap/>
            <w:vAlign w:val="bottom"/>
            <w:hideMark/>
          </w:tcPr>
          <w:p w14:paraId="7DE475B3" w14:textId="77777777" w:rsidR="0081475E" w:rsidRPr="00106E3D" w:rsidRDefault="0081475E" w:rsidP="004E0C9A">
            <w:pPr>
              <w:ind w:left="0"/>
              <w:rPr>
                <w:sz w:val="20"/>
                <w:szCs w:val="20"/>
              </w:rPr>
            </w:pPr>
            <w:r w:rsidRPr="00106E3D">
              <w:rPr>
                <w:sz w:val="20"/>
                <w:szCs w:val="20"/>
              </w:rPr>
              <w:t>Date</w:t>
            </w:r>
          </w:p>
        </w:tc>
        <w:tc>
          <w:tcPr>
            <w:tcW w:w="2700" w:type="dxa"/>
            <w:tcBorders>
              <w:top w:val="nil"/>
              <w:left w:val="nil"/>
              <w:bottom w:val="nil"/>
              <w:right w:val="single" w:sz="4" w:space="0" w:color="auto"/>
            </w:tcBorders>
            <w:noWrap/>
            <w:vAlign w:val="bottom"/>
            <w:hideMark/>
          </w:tcPr>
          <w:p w14:paraId="40844E29" w14:textId="77777777" w:rsidR="0081475E" w:rsidRPr="00106E3D" w:rsidRDefault="0081475E" w:rsidP="004E0C9A">
            <w:pPr>
              <w:ind w:left="0"/>
              <w:rPr>
                <w:sz w:val="20"/>
                <w:szCs w:val="20"/>
              </w:rPr>
            </w:pPr>
            <w:r w:rsidRPr="00106E3D">
              <w:rPr>
                <w:sz w:val="20"/>
                <w:szCs w:val="20"/>
              </w:rPr>
              <w:t>Percent Sublet This Request</w:t>
            </w:r>
          </w:p>
        </w:tc>
        <w:tc>
          <w:tcPr>
            <w:tcW w:w="2700" w:type="dxa"/>
            <w:tcBorders>
              <w:top w:val="nil"/>
              <w:left w:val="nil"/>
              <w:bottom w:val="nil"/>
              <w:right w:val="single" w:sz="4" w:space="0" w:color="auto"/>
            </w:tcBorders>
            <w:noWrap/>
            <w:vAlign w:val="bottom"/>
            <w:hideMark/>
          </w:tcPr>
          <w:p w14:paraId="2EB757BB" w14:textId="77777777" w:rsidR="0081475E" w:rsidRPr="00106E3D" w:rsidRDefault="0081475E" w:rsidP="004E0C9A">
            <w:pPr>
              <w:ind w:left="0"/>
              <w:rPr>
                <w:sz w:val="20"/>
                <w:szCs w:val="20"/>
              </w:rPr>
            </w:pPr>
            <w:r w:rsidRPr="00106E3D">
              <w:rPr>
                <w:sz w:val="20"/>
                <w:szCs w:val="20"/>
              </w:rPr>
              <w:t>Total Percent Sublet to Date</w:t>
            </w:r>
          </w:p>
        </w:tc>
      </w:tr>
      <w:tr w:rsidR="0070000E" w:rsidRPr="0081475E" w14:paraId="417D14C9" w14:textId="77777777" w:rsidTr="0070000E">
        <w:trPr>
          <w:trHeight w:val="288"/>
        </w:trPr>
        <w:tc>
          <w:tcPr>
            <w:tcW w:w="3776" w:type="dxa"/>
            <w:tcBorders>
              <w:top w:val="nil"/>
              <w:left w:val="single" w:sz="4" w:space="0" w:color="auto"/>
              <w:bottom w:val="single" w:sz="4" w:space="0" w:color="auto"/>
              <w:right w:val="single" w:sz="4" w:space="0" w:color="auto"/>
            </w:tcBorders>
            <w:shd w:val="clear" w:color="000000" w:fill="D9D9D9"/>
            <w:noWrap/>
            <w:vAlign w:val="bottom"/>
            <w:hideMark/>
          </w:tcPr>
          <w:p w14:paraId="7C996C1B" w14:textId="77777777" w:rsidR="0081475E" w:rsidRPr="0081475E" w:rsidRDefault="0081475E" w:rsidP="004E0C9A">
            <w:pPr>
              <w:ind w:left="0"/>
            </w:pPr>
            <w:r w:rsidRPr="0081475E">
              <w:t> </w:t>
            </w:r>
          </w:p>
        </w:tc>
        <w:tc>
          <w:tcPr>
            <w:tcW w:w="1169" w:type="dxa"/>
            <w:tcBorders>
              <w:top w:val="nil"/>
              <w:left w:val="nil"/>
              <w:bottom w:val="single" w:sz="4" w:space="0" w:color="auto"/>
              <w:right w:val="single" w:sz="4" w:space="0" w:color="auto"/>
            </w:tcBorders>
            <w:shd w:val="clear" w:color="000000" w:fill="D9D9D9"/>
            <w:noWrap/>
            <w:vAlign w:val="bottom"/>
            <w:hideMark/>
          </w:tcPr>
          <w:p w14:paraId="24D54B62" w14:textId="77777777" w:rsidR="0081475E" w:rsidRPr="0081475E" w:rsidRDefault="0081475E" w:rsidP="004E0C9A">
            <w:pPr>
              <w:ind w:left="0"/>
            </w:pPr>
            <w:r w:rsidRPr="0081475E">
              <w:t> </w:t>
            </w:r>
          </w:p>
        </w:tc>
        <w:tc>
          <w:tcPr>
            <w:tcW w:w="2700" w:type="dxa"/>
            <w:tcBorders>
              <w:top w:val="nil"/>
              <w:left w:val="nil"/>
              <w:bottom w:val="single" w:sz="4" w:space="0" w:color="auto"/>
              <w:right w:val="single" w:sz="4" w:space="0" w:color="auto"/>
            </w:tcBorders>
            <w:shd w:val="clear" w:color="000000" w:fill="D9D9D9"/>
            <w:noWrap/>
            <w:vAlign w:val="bottom"/>
            <w:hideMark/>
          </w:tcPr>
          <w:p w14:paraId="25B9C6F2" w14:textId="77777777" w:rsidR="0081475E" w:rsidRPr="0081475E" w:rsidRDefault="0081475E" w:rsidP="004E0C9A">
            <w:pPr>
              <w:ind w:left="0"/>
            </w:pPr>
            <w:r w:rsidRPr="0081475E">
              <w:t> </w:t>
            </w:r>
          </w:p>
        </w:tc>
        <w:tc>
          <w:tcPr>
            <w:tcW w:w="2700" w:type="dxa"/>
            <w:tcBorders>
              <w:top w:val="nil"/>
              <w:left w:val="nil"/>
              <w:bottom w:val="single" w:sz="4" w:space="0" w:color="auto"/>
              <w:right w:val="single" w:sz="4" w:space="0" w:color="auto"/>
            </w:tcBorders>
            <w:shd w:val="clear" w:color="000000" w:fill="D9D9D9"/>
            <w:noWrap/>
            <w:vAlign w:val="bottom"/>
            <w:hideMark/>
          </w:tcPr>
          <w:p w14:paraId="6311EB4F" w14:textId="77777777" w:rsidR="0081475E" w:rsidRPr="0081475E" w:rsidRDefault="0081475E" w:rsidP="004E0C9A">
            <w:pPr>
              <w:ind w:left="0"/>
            </w:pPr>
            <w:r w:rsidRPr="0081475E">
              <w:t> </w:t>
            </w:r>
          </w:p>
        </w:tc>
      </w:tr>
      <w:tr w:rsidR="0081475E" w:rsidRPr="0081475E" w14:paraId="06B59693" w14:textId="77777777" w:rsidTr="0070000E">
        <w:trPr>
          <w:trHeight w:val="288"/>
        </w:trPr>
        <w:tc>
          <w:tcPr>
            <w:tcW w:w="10345" w:type="dxa"/>
            <w:gridSpan w:val="4"/>
            <w:tcBorders>
              <w:top w:val="single" w:sz="4" w:space="0" w:color="auto"/>
              <w:left w:val="single" w:sz="4" w:space="0" w:color="auto"/>
              <w:bottom w:val="single" w:sz="4" w:space="0" w:color="auto"/>
              <w:right w:val="single" w:sz="4" w:space="0" w:color="000000"/>
            </w:tcBorders>
            <w:noWrap/>
            <w:vAlign w:val="bottom"/>
            <w:hideMark/>
          </w:tcPr>
          <w:p w14:paraId="769329C0" w14:textId="77777777" w:rsidR="0081475E" w:rsidRPr="00106E3D" w:rsidRDefault="0081475E" w:rsidP="004E0C9A">
            <w:pPr>
              <w:ind w:left="0"/>
              <w:rPr>
                <w:sz w:val="20"/>
                <w:szCs w:val="20"/>
              </w:rPr>
            </w:pPr>
            <w:r w:rsidRPr="00106E3D">
              <w:rPr>
                <w:b/>
                <w:bCs/>
                <w:sz w:val="20"/>
                <w:szCs w:val="20"/>
              </w:rPr>
              <w:t>NDDOT Distribution:</w:t>
            </w:r>
            <w:r w:rsidRPr="00106E3D">
              <w:rPr>
                <w:sz w:val="20"/>
                <w:szCs w:val="20"/>
              </w:rPr>
              <w:t xml:space="preserve"> Submit one copy of Contract Documents to FileNet</w:t>
            </w:r>
          </w:p>
        </w:tc>
      </w:tr>
    </w:tbl>
    <w:p w14:paraId="50E4C1CB" w14:textId="0DE3FDA7" w:rsidR="000F2CDC" w:rsidRPr="0053241B" w:rsidRDefault="000F2CDC" w:rsidP="004E0C9A">
      <w:pPr>
        <w:ind w:left="0"/>
        <w:rPr>
          <w:lang w:bidi="en-US"/>
        </w:rPr>
      </w:pPr>
      <w:r w:rsidRPr="0053241B">
        <w:rPr>
          <w:lang w:bidi="en-US"/>
        </w:rPr>
        <w:br w:type="page"/>
      </w:r>
    </w:p>
    <w:p w14:paraId="63DF1EF0" w14:textId="77777777" w:rsidR="00FD1D98" w:rsidRDefault="00FD1D98" w:rsidP="00FE675B">
      <w:pPr>
        <w:pStyle w:val="AppendixHeading"/>
      </w:pPr>
      <w:bookmarkStart w:id="24" w:name="_Toc193968949"/>
    </w:p>
    <w:p w14:paraId="44CA63AD" w14:textId="77777777" w:rsidR="00FD1D98" w:rsidRDefault="00FD1D98" w:rsidP="00FE675B">
      <w:pPr>
        <w:pStyle w:val="AppendixHeading"/>
      </w:pPr>
    </w:p>
    <w:p w14:paraId="01D711B0" w14:textId="77777777" w:rsidR="00FD1D98" w:rsidRDefault="00FD1D98" w:rsidP="00FE675B">
      <w:pPr>
        <w:pStyle w:val="AppendixHeading"/>
      </w:pPr>
    </w:p>
    <w:p w14:paraId="4FE3A247" w14:textId="77777777" w:rsidR="0022034A" w:rsidRDefault="0022034A" w:rsidP="00FE675B">
      <w:pPr>
        <w:pStyle w:val="AppendixHeading"/>
      </w:pPr>
    </w:p>
    <w:p w14:paraId="14CF1C31" w14:textId="77777777" w:rsidR="0022034A" w:rsidRDefault="0022034A" w:rsidP="00FE675B">
      <w:pPr>
        <w:pStyle w:val="AppendixHeading"/>
      </w:pPr>
    </w:p>
    <w:p w14:paraId="0E5E640E" w14:textId="77777777" w:rsidR="0022034A" w:rsidRDefault="0022034A" w:rsidP="00FE675B">
      <w:pPr>
        <w:pStyle w:val="AppendixHeading"/>
      </w:pPr>
    </w:p>
    <w:p w14:paraId="33DDDB74" w14:textId="77777777" w:rsidR="0022034A" w:rsidRDefault="0022034A" w:rsidP="00FE675B">
      <w:pPr>
        <w:pStyle w:val="AppendixHeading"/>
      </w:pPr>
    </w:p>
    <w:p w14:paraId="59C75CC1" w14:textId="77777777" w:rsidR="0022034A" w:rsidRDefault="0022034A" w:rsidP="00FE675B">
      <w:pPr>
        <w:pStyle w:val="AppendixHeading"/>
      </w:pPr>
    </w:p>
    <w:p w14:paraId="7C5177D8" w14:textId="77777777" w:rsidR="0022034A" w:rsidRDefault="0022034A" w:rsidP="00FE675B">
      <w:pPr>
        <w:pStyle w:val="AppendixHeading"/>
      </w:pPr>
    </w:p>
    <w:p w14:paraId="67DB8A29" w14:textId="503E2D02" w:rsidR="00FD1D98" w:rsidRDefault="00D921CA" w:rsidP="00FE675B">
      <w:pPr>
        <w:pStyle w:val="AppendixHeading"/>
      </w:pPr>
      <w:r w:rsidRPr="009B12BB">
        <w:t>Appendix B</w:t>
      </w:r>
      <w:r w:rsidR="00481DAE">
        <w:t xml:space="preserve">: </w:t>
      </w:r>
      <w:r w:rsidR="00FD1D98">
        <w:t>Cost Proposal and Certification of</w:t>
      </w:r>
      <w:r w:rsidR="0022034A">
        <w:t xml:space="preserve"> Final</w:t>
      </w:r>
      <w:r w:rsidR="00FD1D98">
        <w:t xml:space="preserve"> Indirect Costs</w:t>
      </w:r>
    </w:p>
    <w:p w14:paraId="5C8B355C" w14:textId="77777777" w:rsidR="00FD1D98" w:rsidRDefault="00FD1D98">
      <w:pPr>
        <w:spacing w:after="120" w:line="264" w:lineRule="auto"/>
        <w:ind w:left="0"/>
        <w:rPr>
          <w:rFonts w:eastAsia="Times New Roman" w:cs="Times New Roman"/>
          <w:b/>
          <w:bCs/>
          <w:sz w:val="32"/>
          <w:szCs w:val="32"/>
          <w:lang w:bidi="en-US"/>
        </w:rPr>
      </w:pPr>
      <w:r>
        <w:br w:type="page"/>
      </w:r>
    </w:p>
    <w:p w14:paraId="70653E35" w14:textId="6C503842" w:rsidR="00D921CA" w:rsidRPr="008959B1" w:rsidRDefault="00481DAE" w:rsidP="00FE675B">
      <w:pPr>
        <w:pStyle w:val="AppendixHeading"/>
        <w:rPr>
          <w:b w:val="0"/>
          <w:bCs w:val="0"/>
          <w:sz w:val="26"/>
          <w:szCs w:val="26"/>
        </w:rPr>
      </w:pPr>
      <w:r>
        <w:lastRenderedPageBreak/>
        <w:t>Cost Proposal</w:t>
      </w:r>
      <w:bookmarkEnd w:id="24"/>
    </w:p>
    <w:p w14:paraId="13EBA402" w14:textId="2B998869" w:rsidR="00D921CA" w:rsidRDefault="00D921CA" w:rsidP="00A50E1F">
      <w:pPr>
        <w:pStyle w:val="BodyText"/>
        <w:spacing w:after="120"/>
        <w:ind w:left="0"/>
        <w:jc w:val="center"/>
        <w:rPr>
          <w:sz w:val="22"/>
          <w:szCs w:val="22"/>
        </w:rPr>
      </w:pPr>
      <w:r w:rsidRPr="006D3437">
        <w:rPr>
          <w:sz w:val="22"/>
          <w:szCs w:val="22"/>
        </w:rPr>
        <w:t>(Include completed cost form in a separate page labeled “Cost Form- Vender Name” and submit with technical proposal as part of overall response.)</w:t>
      </w:r>
    </w:p>
    <w:p w14:paraId="6599435C" w14:textId="77777777" w:rsidR="00A50E1F" w:rsidRPr="006D3437" w:rsidRDefault="00A50E1F" w:rsidP="00A50E1F">
      <w:pPr>
        <w:pStyle w:val="BodyText"/>
        <w:spacing w:after="120"/>
        <w:ind w:left="0"/>
        <w:jc w:val="center"/>
        <w:rPr>
          <w:sz w:val="22"/>
          <w:szCs w:val="22"/>
        </w:rPr>
      </w:pPr>
    </w:p>
    <w:p w14:paraId="3C12FFB5" w14:textId="614BF8D0" w:rsidR="00D921CA" w:rsidRPr="008959B1" w:rsidRDefault="00D921CA" w:rsidP="00A50E1F">
      <w:pPr>
        <w:pStyle w:val="BodyText"/>
        <w:ind w:left="0"/>
        <w:jc w:val="center"/>
        <w:rPr>
          <w:b/>
          <w:bCs/>
          <w:sz w:val="26"/>
          <w:szCs w:val="26"/>
        </w:rPr>
      </w:pPr>
      <w:r w:rsidRPr="008959B1">
        <w:rPr>
          <w:b/>
          <w:bCs/>
          <w:sz w:val="26"/>
          <w:szCs w:val="26"/>
        </w:rPr>
        <w:t>Cost Quote Form</w:t>
      </w:r>
    </w:p>
    <w:p w14:paraId="3A953BAC" w14:textId="21375FA2" w:rsidR="00D921CA" w:rsidRDefault="00D921CA" w:rsidP="009D547B">
      <w:pPr>
        <w:pStyle w:val="BodyText"/>
        <w:ind w:left="0"/>
        <w:jc w:val="center"/>
      </w:pPr>
      <w:r>
        <w:t xml:space="preserve">The cost </w:t>
      </w:r>
      <w:r w:rsidR="00127F40">
        <w:t>estimated should be based on a not to exceed cost as negotiated in discussion with the most qualified contractor. Changes in the final contract amount and contracted extensions are not anticipated.</w:t>
      </w:r>
    </w:p>
    <w:p w14:paraId="645C96BA" w14:textId="4F0F4558" w:rsidR="00127F40" w:rsidRDefault="00127F40" w:rsidP="00A50E1F">
      <w:pPr>
        <w:pStyle w:val="BodyText"/>
        <w:ind w:left="0"/>
      </w:pPr>
    </w:p>
    <w:p w14:paraId="17E430C4" w14:textId="547894CC" w:rsidR="00127F40" w:rsidRPr="009D547B" w:rsidRDefault="00127F40" w:rsidP="009D547B">
      <w:pPr>
        <w:pStyle w:val="BodyText"/>
        <w:ind w:left="0"/>
        <w:jc w:val="center"/>
        <w:rPr>
          <w:b/>
          <w:bCs/>
          <w:sz w:val="26"/>
          <w:szCs w:val="26"/>
        </w:rPr>
      </w:pPr>
      <w:r w:rsidRPr="009D547B">
        <w:rPr>
          <w:b/>
          <w:bCs/>
          <w:sz w:val="26"/>
          <w:szCs w:val="26"/>
        </w:rPr>
        <w:t>Required Budget Format</w:t>
      </w:r>
    </w:p>
    <w:p w14:paraId="30F1302D" w14:textId="5F49F799" w:rsidR="00127F40" w:rsidRDefault="00127F40" w:rsidP="009D547B">
      <w:pPr>
        <w:pStyle w:val="BodyText"/>
        <w:ind w:left="0"/>
        <w:jc w:val="center"/>
        <w:rPr>
          <w:i/>
          <w:iCs/>
        </w:rPr>
      </w:pPr>
      <w:r w:rsidRPr="009D547B">
        <w:rPr>
          <w:i/>
          <w:iCs/>
        </w:rPr>
        <w:t>Please Use Audited DOT Rates Only</w:t>
      </w:r>
    </w:p>
    <w:p w14:paraId="65481C08" w14:textId="77777777" w:rsidR="009D547B" w:rsidRPr="009D547B" w:rsidRDefault="009D547B" w:rsidP="009D547B">
      <w:pPr>
        <w:pStyle w:val="BodyText"/>
        <w:ind w:left="0"/>
        <w:jc w:val="center"/>
        <w:rPr>
          <w:i/>
          <w:iCs/>
        </w:rPr>
      </w:pPr>
    </w:p>
    <w:p w14:paraId="33ACA50A" w14:textId="77777777" w:rsidR="00132B19" w:rsidRDefault="00132B19" w:rsidP="00106E3D">
      <w:pPr>
        <w:pStyle w:val="BodyText"/>
        <w:ind w:left="-90"/>
      </w:pPr>
    </w:p>
    <w:tbl>
      <w:tblPr>
        <w:tblW w:w="10420" w:type="dxa"/>
        <w:tblLook w:val="04A0" w:firstRow="1" w:lastRow="0" w:firstColumn="1" w:lastColumn="0" w:noHBand="0" w:noVBand="1"/>
        <w:tblCaption w:val="Cost Proposal"/>
        <w:tblDescription w:val="Table requesting information regarding contact information and direct and indirect labor cost information"/>
      </w:tblPr>
      <w:tblGrid>
        <w:gridCol w:w="6240"/>
        <w:gridCol w:w="940"/>
        <w:gridCol w:w="480"/>
        <w:gridCol w:w="1000"/>
        <w:gridCol w:w="440"/>
        <w:gridCol w:w="1320"/>
      </w:tblGrid>
      <w:tr w:rsidR="00132B19" w:rsidRPr="00132B19" w14:paraId="440F3611" w14:textId="77777777" w:rsidTr="00132B19">
        <w:trPr>
          <w:trHeight w:val="312"/>
        </w:trPr>
        <w:tc>
          <w:tcPr>
            <w:tcW w:w="6240" w:type="dxa"/>
            <w:tcBorders>
              <w:top w:val="single" w:sz="4" w:space="0" w:color="auto"/>
              <w:left w:val="single" w:sz="4" w:space="0" w:color="auto"/>
              <w:bottom w:val="single" w:sz="4" w:space="0" w:color="auto"/>
              <w:right w:val="single" w:sz="4" w:space="0" w:color="auto"/>
            </w:tcBorders>
            <w:noWrap/>
            <w:vAlign w:val="bottom"/>
            <w:hideMark/>
          </w:tcPr>
          <w:p w14:paraId="6A8D102A" w14:textId="77777777" w:rsidR="00132B19" w:rsidRPr="00132B19" w:rsidRDefault="00132B19" w:rsidP="00106E3D">
            <w:pPr>
              <w:ind w:left="-90"/>
            </w:pPr>
            <w:r w:rsidRPr="00132B19">
              <w:t>1. Direct Labor</w:t>
            </w:r>
          </w:p>
        </w:tc>
        <w:tc>
          <w:tcPr>
            <w:tcW w:w="940" w:type="dxa"/>
            <w:tcBorders>
              <w:top w:val="single" w:sz="4" w:space="0" w:color="auto"/>
              <w:left w:val="nil"/>
              <w:bottom w:val="single" w:sz="4" w:space="0" w:color="auto"/>
              <w:right w:val="single" w:sz="4" w:space="0" w:color="auto"/>
            </w:tcBorders>
            <w:noWrap/>
            <w:vAlign w:val="bottom"/>
            <w:hideMark/>
          </w:tcPr>
          <w:p w14:paraId="40B1F9F8" w14:textId="77777777" w:rsidR="00132B19" w:rsidRPr="00132B19" w:rsidRDefault="00132B19" w:rsidP="00106E3D">
            <w:pPr>
              <w:ind w:left="-90"/>
            </w:pPr>
            <w:r w:rsidRPr="00132B19">
              <w:t>Hours</w:t>
            </w:r>
          </w:p>
        </w:tc>
        <w:tc>
          <w:tcPr>
            <w:tcW w:w="480" w:type="dxa"/>
            <w:tcBorders>
              <w:top w:val="single" w:sz="4" w:space="0" w:color="auto"/>
              <w:left w:val="nil"/>
              <w:bottom w:val="single" w:sz="4" w:space="0" w:color="auto"/>
              <w:right w:val="single" w:sz="4" w:space="0" w:color="auto"/>
            </w:tcBorders>
            <w:noWrap/>
            <w:vAlign w:val="bottom"/>
            <w:hideMark/>
          </w:tcPr>
          <w:p w14:paraId="06CF695A" w14:textId="77777777" w:rsidR="00132B19" w:rsidRPr="00132B19" w:rsidRDefault="00132B19" w:rsidP="00106E3D">
            <w:pPr>
              <w:ind w:left="-90"/>
            </w:pPr>
            <w:r w:rsidRPr="00132B19">
              <w:t>X</w:t>
            </w:r>
          </w:p>
        </w:tc>
        <w:tc>
          <w:tcPr>
            <w:tcW w:w="1000" w:type="dxa"/>
            <w:tcBorders>
              <w:top w:val="single" w:sz="4" w:space="0" w:color="auto"/>
              <w:left w:val="nil"/>
              <w:bottom w:val="single" w:sz="4" w:space="0" w:color="auto"/>
              <w:right w:val="single" w:sz="4" w:space="0" w:color="auto"/>
            </w:tcBorders>
            <w:noWrap/>
            <w:vAlign w:val="bottom"/>
            <w:hideMark/>
          </w:tcPr>
          <w:p w14:paraId="5E095565" w14:textId="77777777" w:rsidR="00132B19" w:rsidRPr="00132B19" w:rsidRDefault="00132B19" w:rsidP="00106E3D">
            <w:pPr>
              <w:ind w:left="-90"/>
            </w:pPr>
            <w:r w:rsidRPr="00132B19">
              <w:t>Rate</w:t>
            </w:r>
          </w:p>
        </w:tc>
        <w:tc>
          <w:tcPr>
            <w:tcW w:w="440" w:type="dxa"/>
            <w:tcBorders>
              <w:top w:val="single" w:sz="4" w:space="0" w:color="auto"/>
              <w:left w:val="nil"/>
              <w:bottom w:val="single" w:sz="4" w:space="0" w:color="auto"/>
              <w:right w:val="single" w:sz="4" w:space="0" w:color="auto"/>
            </w:tcBorders>
            <w:noWrap/>
            <w:vAlign w:val="bottom"/>
            <w:hideMark/>
          </w:tcPr>
          <w:p w14:paraId="271DEA45" w14:textId="77777777" w:rsidR="00132B19" w:rsidRPr="00132B19" w:rsidRDefault="00132B19" w:rsidP="00106E3D">
            <w:pPr>
              <w:ind w:left="-90"/>
            </w:pPr>
            <w:r w:rsidRPr="00132B19">
              <w:t>=</w:t>
            </w:r>
          </w:p>
        </w:tc>
        <w:tc>
          <w:tcPr>
            <w:tcW w:w="1320" w:type="dxa"/>
            <w:tcBorders>
              <w:top w:val="single" w:sz="4" w:space="0" w:color="auto"/>
              <w:left w:val="nil"/>
              <w:bottom w:val="single" w:sz="4" w:space="0" w:color="auto"/>
              <w:right w:val="single" w:sz="4" w:space="0" w:color="auto"/>
            </w:tcBorders>
            <w:noWrap/>
            <w:vAlign w:val="bottom"/>
            <w:hideMark/>
          </w:tcPr>
          <w:p w14:paraId="41B12618" w14:textId="77777777" w:rsidR="00132B19" w:rsidRPr="00132B19" w:rsidRDefault="00132B19" w:rsidP="00106E3D">
            <w:pPr>
              <w:ind w:left="-90"/>
            </w:pPr>
            <w:r w:rsidRPr="00132B19">
              <w:t>Total</w:t>
            </w:r>
          </w:p>
        </w:tc>
      </w:tr>
      <w:tr w:rsidR="00132B19" w:rsidRPr="00132B19" w14:paraId="460FC8A5" w14:textId="77777777" w:rsidTr="00132B19">
        <w:trPr>
          <w:trHeight w:val="312"/>
        </w:trPr>
        <w:tc>
          <w:tcPr>
            <w:tcW w:w="6240" w:type="dxa"/>
            <w:tcBorders>
              <w:top w:val="nil"/>
              <w:left w:val="single" w:sz="4" w:space="0" w:color="auto"/>
              <w:bottom w:val="single" w:sz="4" w:space="0" w:color="auto"/>
              <w:right w:val="single" w:sz="4" w:space="0" w:color="auto"/>
            </w:tcBorders>
            <w:noWrap/>
            <w:vAlign w:val="bottom"/>
            <w:hideMark/>
          </w:tcPr>
          <w:p w14:paraId="169A11BB" w14:textId="77777777" w:rsidR="00132B19" w:rsidRPr="00132B19" w:rsidRDefault="00132B19" w:rsidP="00106E3D">
            <w:pPr>
              <w:ind w:left="-90"/>
            </w:pPr>
            <w:r w:rsidRPr="00132B19">
              <w:t>Name, Title, Function</w:t>
            </w:r>
          </w:p>
        </w:tc>
        <w:tc>
          <w:tcPr>
            <w:tcW w:w="940" w:type="dxa"/>
            <w:tcBorders>
              <w:top w:val="nil"/>
              <w:left w:val="nil"/>
              <w:bottom w:val="single" w:sz="4" w:space="0" w:color="auto"/>
              <w:right w:val="single" w:sz="4" w:space="0" w:color="auto"/>
            </w:tcBorders>
            <w:noWrap/>
            <w:vAlign w:val="bottom"/>
            <w:hideMark/>
          </w:tcPr>
          <w:p w14:paraId="2FA6E776" w14:textId="77777777" w:rsidR="00132B19" w:rsidRPr="00132B19" w:rsidRDefault="00132B19" w:rsidP="00106E3D">
            <w:pPr>
              <w:ind w:left="-90"/>
            </w:pPr>
            <w:r w:rsidRPr="00132B19">
              <w:t>0.00</w:t>
            </w:r>
          </w:p>
        </w:tc>
        <w:tc>
          <w:tcPr>
            <w:tcW w:w="480" w:type="dxa"/>
            <w:tcBorders>
              <w:top w:val="nil"/>
              <w:left w:val="nil"/>
              <w:bottom w:val="single" w:sz="4" w:space="0" w:color="auto"/>
              <w:right w:val="single" w:sz="4" w:space="0" w:color="auto"/>
            </w:tcBorders>
            <w:noWrap/>
            <w:vAlign w:val="bottom"/>
            <w:hideMark/>
          </w:tcPr>
          <w:p w14:paraId="310A5A02" w14:textId="77777777" w:rsidR="00132B19" w:rsidRPr="00132B19" w:rsidRDefault="00132B19" w:rsidP="00106E3D">
            <w:pPr>
              <w:ind w:left="-90"/>
            </w:pPr>
            <w:r w:rsidRPr="00132B19">
              <w:t>X</w:t>
            </w:r>
          </w:p>
        </w:tc>
        <w:tc>
          <w:tcPr>
            <w:tcW w:w="1000" w:type="dxa"/>
            <w:tcBorders>
              <w:top w:val="nil"/>
              <w:left w:val="nil"/>
              <w:bottom w:val="single" w:sz="4" w:space="0" w:color="auto"/>
              <w:right w:val="single" w:sz="4" w:space="0" w:color="auto"/>
            </w:tcBorders>
            <w:noWrap/>
            <w:vAlign w:val="bottom"/>
            <w:hideMark/>
          </w:tcPr>
          <w:p w14:paraId="752BC4C8" w14:textId="77777777" w:rsidR="00132B19" w:rsidRPr="00132B19" w:rsidRDefault="00132B19" w:rsidP="00106E3D">
            <w:pPr>
              <w:ind w:left="-90"/>
            </w:pPr>
            <w:r w:rsidRPr="00132B19">
              <w:t>0.00</w:t>
            </w:r>
          </w:p>
        </w:tc>
        <w:tc>
          <w:tcPr>
            <w:tcW w:w="440" w:type="dxa"/>
            <w:tcBorders>
              <w:top w:val="nil"/>
              <w:left w:val="nil"/>
              <w:bottom w:val="single" w:sz="4" w:space="0" w:color="auto"/>
              <w:right w:val="single" w:sz="4" w:space="0" w:color="auto"/>
            </w:tcBorders>
            <w:noWrap/>
            <w:vAlign w:val="bottom"/>
            <w:hideMark/>
          </w:tcPr>
          <w:p w14:paraId="2B29267E" w14:textId="77777777" w:rsidR="00132B19" w:rsidRPr="00132B19" w:rsidRDefault="00132B19" w:rsidP="00106E3D">
            <w:pPr>
              <w:ind w:left="-90"/>
            </w:pPr>
            <w:r w:rsidRPr="00132B19">
              <w:t>=</w:t>
            </w:r>
          </w:p>
        </w:tc>
        <w:tc>
          <w:tcPr>
            <w:tcW w:w="1320" w:type="dxa"/>
            <w:tcBorders>
              <w:top w:val="nil"/>
              <w:left w:val="nil"/>
              <w:bottom w:val="single" w:sz="4" w:space="0" w:color="auto"/>
              <w:right w:val="single" w:sz="4" w:space="0" w:color="auto"/>
            </w:tcBorders>
            <w:noWrap/>
            <w:vAlign w:val="bottom"/>
            <w:hideMark/>
          </w:tcPr>
          <w:p w14:paraId="64B670BC" w14:textId="77777777" w:rsidR="00132B19" w:rsidRPr="00132B19" w:rsidRDefault="00132B19" w:rsidP="00106E3D">
            <w:pPr>
              <w:ind w:left="-90"/>
            </w:pPr>
            <w:r w:rsidRPr="00132B19">
              <w:t>$0.00</w:t>
            </w:r>
          </w:p>
        </w:tc>
      </w:tr>
      <w:tr w:rsidR="00132B19" w:rsidRPr="00132B19" w14:paraId="679B9710" w14:textId="77777777" w:rsidTr="00132B19">
        <w:trPr>
          <w:trHeight w:val="312"/>
        </w:trPr>
        <w:tc>
          <w:tcPr>
            <w:tcW w:w="6240" w:type="dxa"/>
            <w:tcBorders>
              <w:top w:val="nil"/>
              <w:left w:val="single" w:sz="4" w:space="0" w:color="auto"/>
              <w:bottom w:val="single" w:sz="4" w:space="0" w:color="auto"/>
              <w:right w:val="single" w:sz="4" w:space="0" w:color="auto"/>
            </w:tcBorders>
            <w:noWrap/>
            <w:vAlign w:val="bottom"/>
            <w:hideMark/>
          </w:tcPr>
          <w:p w14:paraId="66912E71" w14:textId="77777777" w:rsidR="00132B19" w:rsidRPr="00132B19" w:rsidRDefault="00132B19" w:rsidP="00106E3D">
            <w:pPr>
              <w:ind w:left="-90"/>
            </w:pPr>
            <w:r w:rsidRPr="00132B19">
              <w:t> </w:t>
            </w:r>
          </w:p>
        </w:tc>
        <w:tc>
          <w:tcPr>
            <w:tcW w:w="940" w:type="dxa"/>
            <w:tcBorders>
              <w:top w:val="nil"/>
              <w:left w:val="nil"/>
              <w:bottom w:val="single" w:sz="4" w:space="0" w:color="auto"/>
              <w:right w:val="single" w:sz="4" w:space="0" w:color="auto"/>
            </w:tcBorders>
            <w:noWrap/>
            <w:vAlign w:val="bottom"/>
            <w:hideMark/>
          </w:tcPr>
          <w:p w14:paraId="6AAF9059" w14:textId="77777777" w:rsidR="00132B19" w:rsidRPr="00132B19" w:rsidRDefault="00132B19" w:rsidP="00106E3D">
            <w:pPr>
              <w:ind w:left="-90"/>
            </w:pPr>
            <w:r w:rsidRPr="00132B19">
              <w:t> </w:t>
            </w:r>
          </w:p>
        </w:tc>
        <w:tc>
          <w:tcPr>
            <w:tcW w:w="480" w:type="dxa"/>
            <w:tcBorders>
              <w:top w:val="nil"/>
              <w:left w:val="nil"/>
              <w:bottom w:val="single" w:sz="4" w:space="0" w:color="auto"/>
              <w:right w:val="single" w:sz="4" w:space="0" w:color="auto"/>
            </w:tcBorders>
            <w:noWrap/>
            <w:vAlign w:val="bottom"/>
            <w:hideMark/>
          </w:tcPr>
          <w:p w14:paraId="6C41845D" w14:textId="77777777" w:rsidR="00132B19" w:rsidRPr="00132B19" w:rsidRDefault="00132B19" w:rsidP="00106E3D">
            <w:pPr>
              <w:ind w:left="-90"/>
            </w:pPr>
            <w:r w:rsidRPr="00132B19">
              <w:t>X</w:t>
            </w:r>
          </w:p>
        </w:tc>
        <w:tc>
          <w:tcPr>
            <w:tcW w:w="1000" w:type="dxa"/>
            <w:tcBorders>
              <w:top w:val="nil"/>
              <w:left w:val="nil"/>
              <w:bottom w:val="single" w:sz="4" w:space="0" w:color="auto"/>
              <w:right w:val="single" w:sz="4" w:space="0" w:color="auto"/>
            </w:tcBorders>
            <w:noWrap/>
            <w:vAlign w:val="bottom"/>
            <w:hideMark/>
          </w:tcPr>
          <w:p w14:paraId="287FE26A" w14:textId="77777777" w:rsidR="00132B19" w:rsidRPr="00132B19" w:rsidRDefault="00132B19" w:rsidP="00106E3D">
            <w:pPr>
              <w:ind w:left="-90"/>
            </w:pPr>
            <w:r w:rsidRPr="00132B19">
              <w:t> </w:t>
            </w:r>
          </w:p>
        </w:tc>
        <w:tc>
          <w:tcPr>
            <w:tcW w:w="440" w:type="dxa"/>
            <w:tcBorders>
              <w:top w:val="nil"/>
              <w:left w:val="nil"/>
              <w:bottom w:val="single" w:sz="4" w:space="0" w:color="auto"/>
              <w:right w:val="single" w:sz="4" w:space="0" w:color="auto"/>
            </w:tcBorders>
            <w:noWrap/>
            <w:vAlign w:val="bottom"/>
            <w:hideMark/>
          </w:tcPr>
          <w:p w14:paraId="4D1DD572" w14:textId="77777777" w:rsidR="00132B19" w:rsidRPr="00132B19" w:rsidRDefault="00132B19" w:rsidP="00106E3D">
            <w:pPr>
              <w:ind w:left="-90"/>
            </w:pPr>
            <w:r w:rsidRPr="00132B19">
              <w:t>=</w:t>
            </w:r>
          </w:p>
        </w:tc>
        <w:tc>
          <w:tcPr>
            <w:tcW w:w="1320" w:type="dxa"/>
            <w:tcBorders>
              <w:top w:val="nil"/>
              <w:left w:val="nil"/>
              <w:bottom w:val="single" w:sz="4" w:space="0" w:color="auto"/>
              <w:right w:val="single" w:sz="4" w:space="0" w:color="auto"/>
            </w:tcBorders>
            <w:noWrap/>
            <w:vAlign w:val="bottom"/>
            <w:hideMark/>
          </w:tcPr>
          <w:p w14:paraId="0C92678F" w14:textId="77777777" w:rsidR="00132B19" w:rsidRPr="00132B19" w:rsidRDefault="00132B19" w:rsidP="00106E3D">
            <w:pPr>
              <w:ind w:left="-90"/>
            </w:pPr>
            <w:r w:rsidRPr="00132B19">
              <w:t>0</w:t>
            </w:r>
          </w:p>
        </w:tc>
      </w:tr>
      <w:tr w:rsidR="00132B19" w:rsidRPr="00132B19" w14:paraId="283A406E" w14:textId="77777777" w:rsidTr="00132B19">
        <w:trPr>
          <w:trHeight w:val="312"/>
        </w:trPr>
        <w:tc>
          <w:tcPr>
            <w:tcW w:w="6240" w:type="dxa"/>
            <w:tcBorders>
              <w:top w:val="nil"/>
              <w:left w:val="single" w:sz="4" w:space="0" w:color="auto"/>
              <w:bottom w:val="single" w:sz="4" w:space="0" w:color="auto"/>
              <w:right w:val="single" w:sz="4" w:space="0" w:color="auto"/>
            </w:tcBorders>
            <w:noWrap/>
            <w:vAlign w:val="bottom"/>
            <w:hideMark/>
          </w:tcPr>
          <w:p w14:paraId="56FF30E7" w14:textId="77777777" w:rsidR="00132B19" w:rsidRPr="00132B19" w:rsidRDefault="00132B19" w:rsidP="00106E3D">
            <w:pPr>
              <w:ind w:left="-90"/>
            </w:pPr>
            <w:r w:rsidRPr="00132B19">
              <w:t> </w:t>
            </w:r>
          </w:p>
        </w:tc>
        <w:tc>
          <w:tcPr>
            <w:tcW w:w="940" w:type="dxa"/>
            <w:tcBorders>
              <w:top w:val="nil"/>
              <w:left w:val="nil"/>
              <w:bottom w:val="single" w:sz="4" w:space="0" w:color="auto"/>
              <w:right w:val="single" w:sz="4" w:space="0" w:color="auto"/>
            </w:tcBorders>
            <w:noWrap/>
            <w:vAlign w:val="bottom"/>
            <w:hideMark/>
          </w:tcPr>
          <w:p w14:paraId="170403EF" w14:textId="77777777" w:rsidR="00132B19" w:rsidRPr="00132B19" w:rsidRDefault="00132B19" w:rsidP="00106E3D">
            <w:pPr>
              <w:ind w:left="-90"/>
            </w:pPr>
            <w:r w:rsidRPr="00132B19">
              <w:t> </w:t>
            </w:r>
          </w:p>
        </w:tc>
        <w:tc>
          <w:tcPr>
            <w:tcW w:w="480" w:type="dxa"/>
            <w:tcBorders>
              <w:top w:val="nil"/>
              <w:left w:val="nil"/>
              <w:bottom w:val="single" w:sz="4" w:space="0" w:color="auto"/>
              <w:right w:val="single" w:sz="4" w:space="0" w:color="auto"/>
            </w:tcBorders>
            <w:noWrap/>
            <w:vAlign w:val="bottom"/>
            <w:hideMark/>
          </w:tcPr>
          <w:p w14:paraId="10179E86" w14:textId="77777777" w:rsidR="00132B19" w:rsidRPr="00132B19" w:rsidRDefault="00132B19" w:rsidP="00106E3D">
            <w:pPr>
              <w:ind w:left="-90"/>
            </w:pPr>
            <w:r w:rsidRPr="00132B19">
              <w:t>X</w:t>
            </w:r>
          </w:p>
        </w:tc>
        <w:tc>
          <w:tcPr>
            <w:tcW w:w="1000" w:type="dxa"/>
            <w:tcBorders>
              <w:top w:val="nil"/>
              <w:left w:val="nil"/>
              <w:bottom w:val="single" w:sz="4" w:space="0" w:color="auto"/>
              <w:right w:val="single" w:sz="4" w:space="0" w:color="auto"/>
            </w:tcBorders>
            <w:noWrap/>
            <w:vAlign w:val="bottom"/>
            <w:hideMark/>
          </w:tcPr>
          <w:p w14:paraId="75294515" w14:textId="77777777" w:rsidR="00132B19" w:rsidRPr="00132B19" w:rsidRDefault="00132B19" w:rsidP="00106E3D">
            <w:pPr>
              <w:ind w:left="-90"/>
            </w:pPr>
            <w:r w:rsidRPr="00132B19">
              <w:t> </w:t>
            </w:r>
          </w:p>
        </w:tc>
        <w:tc>
          <w:tcPr>
            <w:tcW w:w="440" w:type="dxa"/>
            <w:tcBorders>
              <w:top w:val="nil"/>
              <w:left w:val="nil"/>
              <w:bottom w:val="single" w:sz="4" w:space="0" w:color="auto"/>
              <w:right w:val="single" w:sz="4" w:space="0" w:color="auto"/>
            </w:tcBorders>
            <w:noWrap/>
            <w:vAlign w:val="bottom"/>
            <w:hideMark/>
          </w:tcPr>
          <w:p w14:paraId="4B4C1EA1" w14:textId="77777777" w:rsidR="00132B19" w:rsidRPr="00132B19" w:rsidRDefault="00132B19" w:rsidP="00106E3D">
            <w:pPr>
              <w:ind w:left="-90"/>
            </w:pPr>
            <w:r w:rsidRPr="00132B19">
              <w:t>=</w:t>
            </w:r>
          </w:p>
        </w:tc>
        <w:tc>
          <w:tcPr>
            <w:tcW w:w="1320" w:type="dxa"/>
            <w:tcBorders>
              <w:top w:val="nil"/>
              <w:left w:val="nil"/>
              <w:bottom w:val="single" w:sz="4" w:space="0" w:color="auto"/>
              <w:right w:val="single" w:sz="4" w:space="0" w:color="auto"/>
            </w:tcBorders>
            <w:noWrap/>
            <w:vAlign w:val="bottom"/>
            <w:hideMark/>
          </w:tcPr>
          <w:p w14:paraId="423FE4D3" w14:textId="77777777" w:rsidR="00132B19" w:rsidRPr="00132B19" w:rsidRDefault="00132B19" w:rsidP="00106E3D">
            <w:pPr>
              <w:ind w:left="-90"/>
            </w:pPr>
            <w:r w:rsidRPr="00132B19">
              <w:t>0</w:t>
            </w:r>
          </w:p>
        </w:tc>
      </w:tr>
      <w:tr w:rsidR="00132B19" w:rsidRPr="00132B19" w14:paraId="5C77951F" w14:textId="77777777" w:rsidTr="00132B19">
        <w:trPr>
          <w:trHeight w:val="312"/>
        </w:trPr>
        <w:tc>
          <w:tcPr>
            <w:tcW w:w="6240" w:type="dxa"/>
            <w:tcBorders>
              <w:top w:val="nil"/>
              <w:left w:val="single" w:sz="4" w:space="0" w:color="auto"/>
              <w:bottom w:val="single" w:sz="4" w:space="0" w:color="auto"/>
              <w:right w:val="single" w:sz="4" w:space="0" w:color="auto"/>
            </w:tcBorders>
            <w:noWrap/>
            <w:vAlign w:val="bottom"/>
            <w:hideMark/>
          </w:tcPr>
          <w:p w14:paraId="5DC68444" w14:textId="77777777" w:rsidR="00132B19" w:rsidRPr="00132B19" w:rsidRDefault="00132B19" w:rsidP="00106E3D">
            <w:pPr>
              <w:ind w:left="-90"/>
            </w:pPr>
            <w:r w:rsidRPr="00132B19">
              <w:t> </w:t>
            </w:r>
          </w:p>
        </w:tc>
        <w:tc>
          <w:tcPr>
            <w:tcW w:w="940" w:type="dxa"/>
            <w:tcBorders>
              <w:top w:val="nil"/>
              <w:left w:val="nil"/>
              <w:bottom w:val="single" w:sz="4" w:space="0" w:color="auto"/>
              <w:right w:val="single" w:sz="4" w:space="0" w:color="auto"/>
            </w:tcBorders>
            <w:noWrap/>
            <w:vAlign w:val="bottom"/>
            <w:hideMark/>
          </w:tcPr>
          <w:p w14:paraId="23CD0969" w14:textId="77777777" w:rsidR="00132B19" w:rsidRPr="00132B19" w:rsidRDefault="00132B19" w:rsidP="00106E3D">
            <w:pPr>
              <w:ind w:left="-90"/>
            </w:pPr>
            <w:r w:rsidRPr="00132B19">
              <w:t> </w:t>
            </w:r>
          </w:p>
        </w:tc>
        <w:tc>
          <w:tcPr>
            <w:tcW w:w="480" w:type="dxa"/>
            <w:tcBorders>
              <w:top w:val="nil"/>
              <w:left w:val="nil"/>
              <w:bottom w:val="single" w:sz="4" w:space="0" w:color="auto"/>
              <w:right w:val="single" w:sz="4" w:space="0" w:color="auto"/>
            </w:tcBorders>
            <w:noWrap/>
            <w:vAlign w:val="bottom"/>
            <w:hideMark/>
          </w:tcPr>
          <w:p w14:paraId="0BEEB96B" w14:textId="77777777" w:rsidR="00132B19" w:rsidRPr="00132B19" w:rsidRDefault="00132B19" w:rsidP="00106E3D">
            <w:pPr>
              <w:ind w:left="-90"/>
            </w:pPr>
            <w:r w:rsidRPr="00132B19">
              <w:t>X</w:t>
            </w:r>
          </w:p>
        </w:tc>
        <w:tc>
          <w:tcPr>
            <w:tcW w:w="1000" w:type="dxa"/>
            <w:tcBorders>
              <w:top w:val="nil"/>
              <w:left w:val="nil"/>
              <w:bottom w:val="single" w:sz="4" w:space="0" w:color="auto"/>
              <w:right w:val="single" w:sz="4" w:space="0" w:color="auto"/>
            </w:tcBorders>
            <w:noWrap/>
            <w:vAlign w:val="bottom"/>
            <w:hideMark/>
          </w:tcPr>
          <w:p w14:paraId="604C0128" w14:textId="77777777" w:rsidR="00132B19" w:rsidRPr="00132B19" w:rsidRDefault="00132B19" w:rsidP="00106E3D">
            <w:pPr>
              <w:ind w:left="-90"/>
            </w:pPr>
            <w:r w:rsidRPr="00132B19">
              <w:t> </w:t>
            </w:r>
          </w:p>
        </w:tc>
        <w:tc>
          <w:tcPr>
            <w:tcW w:w="440" w:type="dxa"/>
            <w:tcBorders>
              <w:top w:val="nil"/>
              <w:left w:val="nil"/>
              <w:bottom w:val="single" w:sz="4" w:space="0" w:color="auto"/>
              <w:right w:val="single" w:sz="4" w:space="0" w:color="auto"/>
            </w:tcBorders>
            <w:noWrap/>
            <w:vAlign w:val="bottom"/>
            <w:hideMark/>
          </w:tcPr>
          <w:p w14:paraId="5ED539B7" w14:textId="77777777" w:rsidR="00132B19" w:rsidRPr="00132B19" w:rsidRDefault="00132B19" w:rsidP="00106E3D">
            <w:pPr>
              <w:ind w:left="-90"/>
            </w:pPr>
            <w:r w:rsidRPr="00132B19">
              <w:t>=</w:t>
            </w:r>
          </w:p>
        </w:tc>
        <w:tc>
          <w:tcPr>
            <w:tcW w:w="1320" w:type="dxa"/>
            <w:tcBorders>
              <w:top w:val="nil"/>
              <w:left w:val="nil"/>
              <w:bottom w:val="single" w:sz="4" w:space="0" w:color="auto"/>
              <w:right w:val="single" w:sz="4" w:space="0" w:color="auto"/>
            </w:tcBorders>
            <w:noWrap/>
            <w:vAlign w:val="bottom"/>
            <w:hideMark/>
          </w:tcPr>
          <w:p w14:paraId="351407AF" w14:textId="77777777" w:rsidR="00132B19" w:rsidRPr="00132B19" w:rsidRDefault="00132B19" w:rsidP="00106E3D">
            <w:pPr>
              <w:ind w:left="-90"/>
            </w:pPr>
            <w:r w:rsidRPr="00132B19">
              <w:t>0</w:t>
            </w:r>
          </w:p>
        </w:tc>
      </w:tr>
      <w:tr w:rsidR="00193B64" w:rsidRPr="00132B19" w14:paraId="68D15686" w14:textId="77777777" w:rsidTr="00132B19">
        <w:trPr>
          <w:trHeight w:val="312"/>
        </w:trPr>
        <w:tc>
          <w:tcPr>
            <w:tcW w:w="9100" w:type="dxa"/>
            <w:gridSpan w:val="5"/>
            <w:tcBorders>
              <w:top w:val="single" w:sz="4" w:space="0" w:color="auto"/>
              <w:left w:val="single" w:sz="4" w:space="0" w:color="auto"/>
              <w:bottom w:val="single" w:sz="4" w:space="0" w:color="auto"/>
              <w:right w:val="single" w:sz="4" w:space="0" w:color="auto"/>
            </w:tcBorders>
            <w:noWrap/>
            <w:vAlign w:val="bottom"/>
          </w:tcPr>
          <w:p w14:paraId="3D81C342" w14:textId="0944658B" w:rsidR="00193B64" w:rsidRPr="00132B19" w:rsidRDefault="00193B64" w:rsidP="00106E3D">
            <w:pPr>
              <w:ind w:left="-90"/>
            </w:pPr>
            <w:r>
              <w:t>1. Subtotal- Direct Labor</w:t>
            </w:r>
          </w:p>
        </w:tc>
        <w:tc>
          <w:tcPr>
            <w:tcW w:w="1320" w:type="dxa"/>
            <w:tcBorders>
              <w:top w:val="nil"/>
              <w:left w:val="nil"/>
              <w:bottom w:val="single" w:sz="4" w:space="0" w:color="auto"/>
              <w:right w:val="single" w:sz="4" w:space="0" w:color="auto"/>
            </w:tcBorders>
            <w:noWrap/>
            <w:vAlign w:val="bottom"/>
          </w:tcPr>
          <w:p w14:paraId="362C9EB5" w14:textId="77777777" w:rsidR="00193B64" w:rsidRPr="00132B19" w:rsidRDefault="00193B64" w:rsidP="00106E3D">
            <w:pPr>
              <w:ind w:left="-90"/>
            </w:pPr>
          </w:p>
        </w:tc>
      </w:tr>
      <w:tr w:rsidR="00132B19" w:rsidRPr="00132B19" w14:paraId="08AD4A9B" w14:textId="77777777" w:rsidTr="00132B19">
        <w:trPr>
          <w:trHeight w:val="312"/>
        </w:trPr>
        <w:tc>
          <w:tcPr>
            <w:tcW w:w="9100" w:type="dxa"/>
            <w:gridSpan w:val="5"/>
            <w:tcBorders>
              <w:top w:val="single" w:sz="4" w:space="0" w:color="auto"/>
              <w:left w:val="single" w:sz="4" w:space="0" w:color="auto"/>
              <w:bottom w:val="single" w:sz="4" w:space="0" w:color="auto"/>
              <w:right w:val="single" w:sz="4" w:space="0" w:color="auto"/>
            </w:tcBorders>
            <w:noWrap/>
            <w:vAlign w:val="bottom"/>
            <w:hideMark/>
          </w:tcPr>
          <w:p w14:paraId="72A0AA37" w14:textId="77777777" w:rsidR="00132B19" w:rsidRPr="00132B19" w:rsidRDefault="00132B19" w:rsidP="00106E3D">
            <w:pPr>
              <w:ind w:left="-90"/>
            </w:pPr>
            <w:r w:rsidRPr="00132B19">
              <w:t>2. Overhead</w:t>
            </w:r>
          </w:p>
        </w:tc>
        <w:tc>
          <w:tcPr>
            <w:tcW w:w="1320" w:type="dxa"/>
            <w:tcBorders>
              <w:top w:val="nil"/>
              <w:left w:val="nil"/>
              <w:bottom w:val="single" w:sz="4" w:space="0" w:color="auto"/>
              <w:right w:val="single" w:sz="4" w:space="0" w:color="auto"/>
            </w:tcBorders>
            <w:noWrap/>
            <w:vAlign w:val="bottom"/>
            <w:hideMark/>
          </w:tcPr>
          <w:p w14:paraId="18AEE5A9" w14:textId="77777777" w:rsidR="00132B19" w:rsidRPr="00132B19" w:rsidRDefault="00132B19" w:rsidP="00106E3D">
            <w:pPr>
              <w:ind w:left="-90"/>
            </w:pPr>
            <w:r w:rsidRPr="00132B19">
              <w:t> </w:t>
            </w:r>
          </w:p>
        </w:tc>
      </w:tr>
      <w:tr w:rsidR="00132B19" w:rsidRPr="00132B19" w14:paraId="0E88DDBA" w14:textId="77777777" w:rsidTr="00132B19">
        <w:trPr>
          <w:trHeight w:val="312"/>
        </w:trPr>
        <w:tc>
          <w:tcPr>
            <w:tcW w:w="9100" w:type="dxa"/>
            <w:gridSpan w:val="5"/>
            <w:tcBorders>
              <w:top w:val="single" w:sz="4" w:space="0" w:color="auto"/>
              <w:left w:val="single" w:sz="4" w:space="0" w:color="auto"/>
              <w:bottom w:val="single" w:sz="4" w:space="0" w:color="auto"/>
              <w:right w:val="single" w:sz="4" w:space="0" w:color="auto"/>
            </w:tcBorders>
            <w:noWrap/>
            <w:vAlign w:val="bottom"/>
            <w:hideMark/>
          </w:tcPr>
          <w:p w14:paraId="7B13D759" w14:textId="77777777" w:rsidR="00132B19" w:rsidRPr="00132B19" w:rsidRDefault="00132B19" w:rsidP="00106E3D">
            <w:pPr>
              <w:ind w:left="-90"/>
            </w:pPr>
            <w:r w:rsidRPr="00132B19">
              <w:t>3. General &amp; Administrative Overhead</w:t>
            </w:r>
          </w:p>
        </w:tc>
        <w:tc>
          <w:tcPr>
            <w:tcW w:w="1320" w:type="dxa"/>
            <w:tcBorders>
              <w:top w:val="nil"/>
              <w:left w:val="nil"/>
              <w:bottom w:val="single" w:sz="4" w:space="0" w:color="auto"/>
              <w:right w:val="single" w:sz="4" w:space="0" w:color="auto"/>
            </w:tcBorders>
            <w:noWrap/>
            <w:vAlign w:val="bottom"/>
            <w:hideMark/>
          </w:tcPr>
          <w:p w14:paraId="433976A1" w14:textId="77777777" w:rsidR="00132B19" w:rsidRPr="00132B19" w:rsidRDefault="00132B19" w:rsidP="00106E3D">
            <w:pPr>
              <w:ind w:left="-90"/>
            </w:pPr>
            <w:r w:rsidRPr="00132B19">
              <w:t> </w:t>
            </w:r>
          </w:p>
        </w:tc>
      </w:tr>
      <w:tr w:rsidR="00132B19" w:rsidRPr="00132B19" w14:paraId="328DA3D7" w14:textId="77777777" w:rsidTr="00132B19">
        <w:trPr>
          <w:trHeight w:val="312"/>
        </w:trPr>
        <w:tc>
          <w:tcPr>
            <w:tcW w:w="9100" w:type="dxa"/>
            <w:gridSpan w:val="5"/>
            <w:tcBorders>
              <w:top w:val="single" w:sz="4" w:space="0" w:color="auto"/>
              <w:left w:val="single" w:sz="4" w:space="0" w:color="auto"/>
              <w:bottom w:val="single" w:sz="4" w:space="0" w:color="auto"/>
              <w:right w:val="single" w:sz="4" w:space="0" w:color="auto"/>
            </w:tcBorders>
            <w:noWrap/>
            <w:vAlign w:val="bottom"/>
            <w:hideMark/>
          </w:tcPr>
          <w:p w14:paraId="33AED6E1" w14:textId="77777777" w:rsidR="00132B19" w:rsidRPr="00132B19" w:rsidRDefault="00132B19" w:rsidP="00106E3D">
            <w:pPr>
              <w:ind w:left="-90"/>
            </w:pPr>
            <w:r w:rsidRPr="00132B19">
              <w:t>4. Subcontractor Costs</w:t>
            </w:r>
          </w:p>
        </w:tc>
        <w:tc>
          <w:tcPr>
            <w:tcW w:w="1320" w:type="dxa"/>
            <w:tcBorders>
              <w:top w:val="nil"/>
              <w:left w:val="nil"/>
              <w:bottom w:val="single" w:sz="4" w:space="0" w:color="auto"/>
              <w:right w:val="single" w:sz="4" w:space="0" w:color="auto"/>
            </w:tcBorders>
            <w:noWrap/>
            <w:vAlign w:val="bottom"/>
            <w:hideMark/>
          </w:tcPr>
          <w:p w14:paraId="557632F4" w14:textId="77777777" w:rsidR="00132B19" w:rsidRPr="00132B19" w:rsidRDefault="00132B19" w:rsidP="00106E3D">
            <w:pPr>
              <w:ind w:left="-90"/>
            </w:pPr>
            <w:r w:rsidRPr="00132B19">
              <w:t> </w:t>
            </w:r>
          </w:p>
        </w:tc>
      </w:tr>
      <w:tr w:rsidR="00132B19" w:rsidRPr="00132B19" w14:paraId="386E73B8" w14:textId="77777777" w:rsidTr="00132B19">
        <w:trPr>
          <w:trHeight w:val="312"/>
        </w:trPr>
        <w:tc>
          <w:tcPr>
            <w:tcW w:w="9100" w:type="dxa"/>
            <w:gridSpan w:val="5"/>
            <w:tcBorders>
              <w:top w:val="single" w:sz="4" w:space="0" w:color="auto"/>
              <w:left w:val="single" w:sz="4" w:space="0" w:color="auto"/>
              <w:bottom w:val="single" w:sz="4" w:space="0" w:color="auto"/>
              <w:right w:val="single" w:sz="4" w:space="0" w:color="auto"/>
            </w:tcBorders>
            <w:noWrap/>
            <w:vAlign w:val="bottom"/>
            <w:hideMark/>
          </w:tcPr>
          <w:p w14:paraId="7ED349D7" w14:textId="77777777" w:rsidR="00132B19" w:rsidRPr="00132B19" w:rsidRDefault="00132B19" w:rsidP="00106E3D">
            <w:pPr>
              <w:ind w:left="-90"/>
            </w:pPr>
            <w:r w:rsidRPr="00132B19">
              <w:t>5. Materials and Supplies Costs</w:t>
            </w:r>
          </w:p>
        </w:tc>
        <w:tc>
          <w:tcPr>
            <w:tcW w:w="1320" w:type="dxa"/>
            <w:tcBorders>
              <w:top w:val="nil"/>
              <w:left w:val="nil"/>
              <w:bottom w:val="single" w:sz="4" w:space="0" w:color="auto"/>
              <w:right w:val="single" w:sz="4" w:space="0" w:color="auto"/>
            </w:tcBorders>
            <w:noWrap/>
            <w:vAlign w:val="bottom"/>
            <w:hideMark/>
          </w:tcPr>
          <w:p w14:paraId="0AC4BC0A" w14:textId="77777777" w:rsidR="00132B19" w:rsidRPr="00132B19" w:rsidRDefault="00132B19" w:rsidP="00106E3D">
            <w:pPr>
              <w:ind w:left="-90"/>
            </w:pPr>
            <w:r w:rsidRPr="00132B19">
              <w:t> </w:t>
            </w:r>
          </w:p>
        </w:tc>
      </w:tr>
      <w:tr w:rsidR="00132B19" w:rsidRPr="00132B19" w14:paraId="6267F854" w14:textId="77777777" w:rsidTr="00132B19">
        <w:trPr>
          <w:trHeight w:val="312"/>
        </w:trPr>
        <w:tc>
          <w:tcPr>
            <w:tcW w:w="9100" w:type="dxa"/>
            <w:gridSpan w:val="5"/>
            <w:tcBorders>
              <w:top w:val="single" w:sz="4" w:space="0" w:color="auto"/>
              <w:left w:val="single" w:sz="4" w:space="0" w:color="auto"/>
              <w:bottom w:val="single" w:sz="4" w:space="0" w:color="auto"/>
              <w:right w:val="single" w:sz="4" w:space="0" w:color="auto"/>
            </w:tcBorders>
            <w:noWrap/>
            <w:vAlign w:val="bottom"/>
            <w:hideMark/>
          </w:tcPr>
          <w:p w14:paraId="005A3A81" w14:textId="77777777" w:rsidR="00132B19" w:rsidRPr="00132B19" w:rsidRDefault="00132B19" w:rsidP="00106E3D">
            <w:pPr>
              <w:ind w:left="-90"/>
            </w:pPr>
            <w:r w:rsidRPr="00132B19">
              <w:t>6. Travel Costs</w:t>
            </w:r>
          </w:p>
        </w:tc>
        <w:tc>
          <w:tcPr>
            <w:tcW w:w="1320" w:type="dxa"/>
            <w:tcBorders>
              <w:top w:val="nil"/>
              <w:left w:val="nil"/>
              <w:bottom w:val="single" w:sz="4" w:space="0" w:color="auto"/>
              <w:right w:val="single" w:sz="4" w:space="0" w:color="auto"/>
            </w:tcBorders>
            <w:noWrap/>
            <w:vAlign w:val="bottom"/>
            <w:hideMark/>
          </w:tcPr>
          <w:p w14:paraId="2083267B" w14:textId="77777777" w:rsidR="00132B19" w:rsidRPr="00132B19" w:rsidRDefault="00132B19" w:rsidP="00106E3D">
            <w:pPr>
              <w:ind w:left="-90"/>
            </w:pPr>
            <w:r w:rsidRPr="00132B19">
              <w:t> </w:t>
            </w:r>
          </w:p>
        </w:tc>
      </w:tr>
      <w:tr w:rsidR="00132B19" w:rsidRPr="00132B19" w14:paraId="6FED8582" w14:textId="77777777" w:rsidTr="00132B19">
        <w:trPr>
          <w:trHeight w:val="312"/>
        </w:trPr>
        <w:tc>
          <w:tcPr>
            <w:tcW w:w="9100" w:type="dxa"/>
            <w:gridSpan w:val="5"/>
            <w:tcBorders>
              <w:top w:val="single" w:sz="4" w:space="0" w:color="auto"/>
              <w:left w:val="single" w:sz="4" w:space="0" w:color="auto"/>
              <w:bottom w:val="single" w:sz="4" w:space="0" w:color="auto"/>
              <w:right w:val="single" w:sz="4" w:space="0" w:color="auto"/>
            </w:tcBorders>
            <w:noWrap/>
            <w:vAlign w:val="bottom"/>
            <w:hideMark/>
          </w:tcPr>
          <w:p w14:paraId="49AE86DB" w14:textId="77777777" w:rsidR="00132B19" w:rsidRPr="00132B19" w:rsidRDefault="00132B19" w:rsidP="00106E3D">
            <w:pPr>
              <w:ind w:left="-90"/>
            </w:pPr>
            <w:r w:rsidRPr="00132B19">
              <w:t>7. Fixed Fee</w:t>
            </w:r>
          </w:p>
        </w:tc>
        <w:tc>
          <w:tcPr>
            <w:tcW w:w="1320" w:type="dxa"/>
            <w:tcBorders>
              <w:top w:val="nil"/>
              <w:left w:val="nil"/>
              <w:bottom w:val="single" w:sz="4" w:space="0" w:color="auto"/>
              <w:right w:val="single" w:sz="4" w:space="0" w:color="auto"/>
            </w:tcBorders>
            <w:noWrap/>
            <w:vAlign w:val="bottom"/>
            <w:hideMark/>
          </w:tcPr>
          <w:p w14:paraId="47785F51" w14:textId="77777777" w:rsidR="00132B19" w:rsidRPr="00132B19" w:rsidRDefault="00132B19" w:rsidP="00106E3D">
            <w:pPr>
              <w:ind w:left="-90"/>
            </w:pPr>
            <w:r w:rsidRPr="00132B19">
              <w:t> </w:t>
            </w:r>
          </w:p>
        </w:tc>
      </w:tr>
      <w:tr w:rsidR="00132B19" w:rsidRPr="00132B19" w14:paraId="60EFCB1F" w14:textId="77777777" w:rsidTr="00132B19">
        <w:trPr>
          <w:trHeight w:val="312"/>
        </w:trPr>
        <w:tc>
          <w:tcPr>
            <w:tcW w:w="9100" w:type="dxa"/>
            <w:gridSpan w:val="5"/>
            <w:tcBorders>
              <w:top w:val="single" w:sz="4" w:space="0" w:color="auto"/>
              <w:left w:val="single" w:sz="4" w:space="0" w:color="auto"/>
              <w:bottom w:val="single" w:sz="4" w:space="0" w:color="auto"/>
              <w:right w:val="single" w:sz="4" w:space="0" w:color="auto"/>
            </w:tcBorders>
            <w:noWrap/>
            <w:vAlign w:val="bottom"/>
            <w:hideMark/>
          </w:tcPr>
          <w:p w14:paraId="0627B953" w14:textId="77777777" w:rsidR="00132B19" w:rsidRPr="00132B19" w:rsidRDefault="00132B19" w:rsidP="00106E3D">
            <w:pPr>
              <w:ind w:left="-90"/>
            </w:pPr>
            <w:r w:rsidRPr="00132B19">
              <w:t>8. Miscellaneous Costs</w:t>
            </w:r>
          </w:p>
        </w:tc>
        <w:tc>
          <w:tcPr>
            <w:tcW w:w="1320" w:type="dxa"/>
            <w:tcBorders>
              <w:top w:val="nil"/>
              <w:left w:val="nil"/>
              <w:bottom w:val="single" w:sz="4" w:space="0" w:color="auto"/>
              <w:right w:val="single" w:sz="4" w:space="0" w:color="auto"/>
            </w:tcBorders>
            <w:noWrap/>
            <w:vAlign w:val="bottom"/>
            <w:hideMark/>
          </w:tcPr>
          <w:p w14:paraId="3CFD6A9D" w14:textId="77777777" w:rsidR="00132B19" w:rsidRPr="00132B19" w:rsidRDefault="00132B19" w:rsidP="00106E3D">
            <w:pPr>
              <w:ind w:left="-90"/>
            </w:pPr>
            <w:r w:rsidRPr="00132B19">
              <w:t> </w:t>
            </w:r>
          </w:p>
        </w:tc>
      </w:tr>
      <w:tr w:rsidR="00132B19" w:rsidRPr="00132B19" w14:paraId="0D3C59B4" w14:textId="77777777" w:rsidTr="00132B19">
        <w:trPr>
          <w:trHeight w:val="312"/>
        </w:trPr>
        <w:tc>
          <w:tcPr>
            <w:tcW w:w="9100" w:type="dxa"/>
            <w:gridSpan w:val="5"/>
            <w:tcBorders>
              <w:top w:val="single" w:sz="4" w:space="0" w:color="auto"/>
              <w:left w:val="single" w:sz="4" w:space="0" w:color="auto"/>
              <w:bottom w:val="single" w:sz="4" w:space="0" w:color="auto"/>
              <w:right w:val="single" w:sz="4" w:space="0" w:color="auto"/>
            </w:tcBorders>
            <w:noWrap/>
            <w:vAlign w:val="bottom"/>
            <w:hideMark/>
          </w:tcPr>
          <w:p w14:paraId="6A50460A" w14:textId="77777777" w:rsidR="00132B19" w:rsidRPr="00132B19" w:rsidRDefault="00132B19" w:rsidP="00106E3D">
            <w:pPr>
              <w:ind w:left="-90"/>
            </w:pPr>
            <w:r w:rsidRPr="00132B19">
              <w:t>Total Cost</w:t>
            </w:r>
          </w:p>
        </w:tc>
        <w:tc>
          <w:tcPr>
            <w:tcW w:w="1320" w:type="dxa"/>
            <w:tcBorders>
              <w:top w:val="nil"/>
              <w:left w:val="nil"/>
              <w:bottom w:val="single" w:sz="4" w:space="0" w:color="auto"/>
              <w:right w:val="single" w:sz="4" w:space="0" w:color="auto"/>
            </w:tcBorders>
            <w:noWrap/>
            <w:vAlign w:val="bottom"/>
            <w:hideMark/>
          </w:tcPr>
          <w:p w14:paraId="249BEF69" w14:textId="77777777" w:rsidR="00132B19" w:rsidRPr="00132B19" w:rsidRDefault="00132B19" w:rsidP="00106E3D">
            <w:pPr>
              <w:ind w:left="-90"/>
            </w:pPr>
            <w:r w:rsidRPr="00132B19">
              <w:t> </w:t>
            </w:r>
          </w:p>
        </w:tc>
      </w:tr>
    </w:tbl>
    <w:p w14:paraId="3FFC2D82" w14:textId="01443F29" w:rsidR="00127F40" w:rsidRDefault="00127F40" w:rsidP="00106E3D">
      <w:pPr>
        <w:pStyle w:val="BodyText"/>
        <w:ind w:left="-90"/>
      </w:pPr>
    </w:p>
    <w:p w14:paraId="3237C929" w14:textId="212CE564" w:rsidR="00132B19" w:rsidRDefault="00132B19" w:rsidP="00106E3D">
      <w:pPr>
        <w:ind w:left="-90"/>
        <w:rPr>
          <w:rFonts w:ascii="Times New Roman" w:eastAsia="Times New Roman" w:hAnsi="Times New Roman" w:cs="Times New Roman"/>
          <w:lang w:bidi="en-US"/>
        </w:rPr>
      </w:pPr>
      <w:r>
        <w:br w:type="page"/>
      </w:r>
    </w:p>
    <w:p w14:paraId="5268F4D9" w14:textId="69F17ED6" w:rsidR="00132B19" w:rsidRPr="001A4BC2" w:rsidRDefault="00132B19" w:rsidP="001A4BC2">
      <w:pPr>
        <w:pStyle w:val="BodyText"/>
        <w:ind w:left="0"/>
        <w:jc w:val="center"/>
        <w:rPr>
          <w:b/>
          <w:bCs/>
          <w:sz w:val="28"/>
          <w:szCs w:val="28"/>
        </w:rPr>
      </w:pPr>
      <w:r w:rsidRPr="001A4BC2">
        <w:rPr>
          <w:b/>
          <w:bCs/>
          <w:sz w:val="28"/>
          <w:szCs w:val="28"/>
        </w:rPr>
        <w:lastRenderedPageBreak/>
        <w:t>Certification of Final Indirect Costs</w:t>
      </w:r>
    </w:p>
    <w:p w14:paraId="709BC489" w14:textId="22CFB215" w:rsidR="00132B19" w:rsidRDefault="00132B19" w:rsidP="00B166EC">
      <w:pPr>
        <w:pStyle w:val="BodyText"/>
        <w:ind w:left="0"/>
      </w:pPr>
    </w:p>
    <w:p w14:paraId="14EFA247" w14:textId="0C9DC8E5" w:rsidR="00132B19" w:rsidRDefault="00132B19" w:rsidP="00B166EC">
      <w:pPr>
        <w:pStyle w:val="BodyText"/>
        <w:ind w:left="0"/>
      </w:pPr>
      <w:r w:rsidRPr="001A4BC2">
        <w:rPr>
          <w:b/>
          <w:bCs/>
        </w:rPr>
        <w:t>Firm Name:</w:t>
      </w:r>
      <w:r>
        <w:t xml:space="preserve"> ______________________________________________________________________</w:t>
      </w:r>
    </w:p>
    <w:p w14:paraId="1C30C2D9" w14:textId="15AFC784" w:rsidR="00132B19" w:rsidRDefault="00132B19" w:rsidP="00B166EC">
      <w:pPr>
        <w:pStyle w:val="BodyText"/>
        <w:ind w:left="0"/>
      </w:pPr>
    </w:p>
    <w:p w14:paraId="1385CDC6" w14:textId="5D2B3D46" w:rsidR="00132B19" w:rsidRDefault="00132B19" w:rsidP="00B166EC">
      <w:pPr>
        <w:pStyle w:val="BodyText"/>
        <w:ind w:left="0"/>
      </w:pPr>
      <w:r w:rsidRPr="001A4BC2">
        <w:rPr>
          <w:b/>
          <w:bCs/>
        </w:rPr>
        <w:t>Proposed Indirect Cost Rate:</w:t>
      </w:r>
      <w:r>
        <w:t xml:space="preserve"> _______________________________________________________</w:t>
      </w:r>
    </w:p>
    <w:p w14:paraId="5EDA9F83" w14:textId="042652D0" w:rsidR="00132B19" w:rsidRDefault="00132B19" w:rsidP="00B166EC">
      <w:pPr>
        <w:pStyle w:val="BodyText"/>
        <w:ind w:left="0"/>
      </w:pPr>
    </w:p>
    <w:p w14:paraId="4D43B075" w14:textId="0E9D08BC" w:rsidR="00132B19" w:rsidRDefault="00132B19" w:rsidP="00B166EC">
      <w:pPr>
        <w:pStyle w:val="BodyText"/>
        <w:ind w:left="0"/>
      </w:pPr>
      <w:r w:rsidRPr="001A4BC2">
        <w:rPr>
          <w:b/>
          <w:bCs/>
        </w:rPr>
        <w:t>Date of Proposal Preparation (mm/dd/</w:t>
      </w:r>
      <w:proofErr w:type="spellStart"/>
      <w:r w:rsidRPr="001A4BC2">
        <w:rPr>
          <w:b/>
          <w:bCs/>
        </w:rPr>
        <w:t>yyyy</w:t>
      </w:r>
      <w:proofErr w:type="spellEnd"/>
      <w:r w:rsidRPr="001A4BC2">
        <w:rPr>
          <w:b/>
          <w:bCs/>
        </w:rPr>
        <w:t>):</w:t>
      </w:r>
      <w:r>
        <w:t xml:space="preserve"> __________________________________________</w:t>
      </w:r>
    </w:p>
    <w:p w14:paraId="3964DACE" w14:textId="6D2AE7C0" w:rsidR="00132B19" w:rsidRDefault="00132B19" w:rsidP="00B166EC">
      <w:pPr>
        <w:pStyle w:val="BodyText"/>
        <w:ind w:left="0"/>
      </w:pPr>
    </w:p>
    <w:p w14:paraId="2209A591" w14:textId="427D7D94" w:rsidR="00132B19" w:rsidRDefault="00132B19" w:rsidP="00B166EC">
      <w:pPr>
        <w:pStyle w:val="BodyText"/>
        <w:ind w:left="0"/>
      </w:pPr>
      <w:r w:rsidRPr="001A4BC2">
        <w:rPr>
          <w:b/>
          <w:bCs/>
        </w:rPr>
        <w:t>Fiscal Period Covered (mm/dd/</w:t>
      </w:r>
      <w:proofErr w:type="spellStart"/>
      <w:r w:rsidRPr="001A4BC2">
        <w:rPr>
          <w:b/>
          <w:bCs/>
        </w:rPr>
        <w:t>yyyy</w:t>
      </w:r>
      <w:proofErr w:type="spellEnd"/>
      <w:r w:rsidRPr="001A4BC2">
        <w:rPr>
          <w:b/>
          <w:bCs/>
        </w:rPr>
        <w:t xml:space="preserve"> to mm/dd/</w:t>
      </w:r>
      <w:proofErr w:type="spellStart"/>
      <w:r w:rsidRPr="001A4BC2">
        <w:rPr>
          <w:b/>
          <w:bCs/>
        </w:rPr>
        <w:t>yyyy</w:t>
      </w:r>
      <w:proofErr w:type="spellEnd"/>
      <w:r w:rsidRPr="001A4BC2">
        <w:rPr>
          <w:b/>
          <w:bCs/>
        </w:rPr>
        <w:t>):</w:t>
      </w:r>
      <w:r>
        <w:t xml:space="preserve"> ___________________________________</w:t>
      </w:r>
    </w:p>
    <w:p w14:paraId="634761B1" w14:textId="447BB5B7" w:rsidR="00132B19" w:rsidRDefault="00132B19" w:rsidP="00B166EC">
      <w:pPr>
        <w:pStyle w:val="BodyText"/>
        <w:ind w:left="0"/>
      </w:pPr>
    </w:p>
    <w:p w14:paraId="58F71554" w14:textId="7545084C" w:rsidR="00132B19" w:rsidRDefault="00132B19" w:rsidP="00B166EC">
      <w:pPr>
        <w:pStyle w:val="BodyText"/>
        <w:ind w:left="0"/>
      </w:pPr>
      <w:r>
        <w:t>I, the undersigned, certify that I have reviewed the proposal to establish final indirect cost rates for the fiscal period as specified above and to the best of my knowledge and belief:</w:t>
      </w:r>
    </w:p>
    <w:p w14:paraId="349CD516" w14:textId="77777777" w:rsidR="00C71768" w:rsidRDefault="00C71768" w:rsidP="00B166EC">
      <w:pPr>
        <w:pStyle w:val="BodyText"/>
        <w:ind w:left="0"/>
      </w:pPr>
    </w:p>
    <w:p w14:paraId="745C4B5C" w14:textId="7837EB71" w:rsidR="00132B19" w:rsidRDefault="00132B19" w:rsidP="00C71768">
      <w:pPr>
        <w:pStyle w:val="BodyText"/>
        <w:numPr>
          <w:ilvl w:val="0"/>
          <w:numId w:val="9"/>
        </w:numPr>
        <w:spacing w:after="120"/>
        <w:ind w:left="360"/>
      </w:pPr>
      <w:r>
        <w:t xml:space="preserve">All costs included in this proposal to establish final indirect cost rates are allowable in accordance with the cost principles of the Federal Acquisition Regulations (FAR) of </w:t>
      </w:r>
      <w:r w:rsidR="00390429">
        <w:t>title 48, Code of Federal Regulations (CFR), part 31.</w:t>
      </w:r>
    </w:p>
    <w:p w14:paraId="14504C3C" w14:textId="52388095" w:rsidR="00390429" w:rsidRDefault="00390429" w:rsidP="00C71768">
      <w:pPr>
        <w:pStyle w:val="BodyText"/>
        <w:numPr>
          <w:ilvl w:val="0"/>
          <w:numId w:val="9"/>
        </w:numPr>
        <w:spacing w:after="120"/>
        <w:ind w:left="360"/>
      </w:pPr>
      <w:r>
        <w:t>This proposal does not include any costs which are expressly unallowable under the cost principles of the FAR of 48 CFR 31.</w:t>
      </w:r>
    </w:p>
    <w:p w14:paraId="39698855" w14:textId="77777777" w:rsidR="00C71768" w:rsidRDefault="00C71768" w:rsidP="00B166EC">
      <w:pPr>
        <w:pStyle w:val="BodyText"/>
        <w:ind w:left="0"/>
      </w:pPr>
    </w:p>
    <w:p w14:paraId="5CA9C040" w14:textId="075A9743" w:rsidR="00390429" w:rsidRDefault="00390429" w:rsidP="00B166EC">
      <w:pPr>
        <w:pStyle w:val="BodyText"/>
        <w:ind w:left="0"/>
      </w:pPr>
      <w:r>
        <w:t>All known material transactions or events that have occurred affecting the firm’s ownership, organization and indirect cost rates have been disclosed.</w:t>
      </w:r>
    </w:p>
    <w:p w14:paraId="6C963A53" w14:textId="5A4868E1" w:rsidR="00390429" w:rsidRDefault="00390429" w:rsidP="00B166EC">
      <w:pPr>
        <w:pStyle w:val="BodyText"/>
        <w:ind w:left="0"/>
      </w:pPr>
    </w:p>
    <w:p w14:paraId="33FBD607" w14:textId="77777777" w:rsidR="00C71768" w:rsidRDefault="00C71768" w:rsidP="00B166EC">
      <w:pPr>
        <w:pStyle w:val="BodyText"/>
        <w:ind w:left="0"/>
        <w:rPr>
          <w:b/>
          <w:bCs/>
        </w:rPr>
      </w:pPr>
    </w:p>
    <w:p w14:paraId="26EC5AC7" w14:textId="209FF80D" w:rsidR="00390429" w:rsidRDefault="00390429" w:rsidP="00B166EC">
      <w:pPr>
        <w:pStyle w:val="BodyText"/>
        <w:ind w:left="0"/>
      </w:pPr>
      <w:r w:rsidRPr="00C71768">
        <w:rPr>
          <w:b/>
          <w:bCs/>
        </w:rPr>
        <w:t>Signature:</w:t>
      </w:r>
      <w:r>
        <w:t xml:space="preserve"> _____________________________________________________</w:t>
      </w:r>
    </w:p>
    <w:p w14:paraId="01EA43CA" w14:textId="133752EF" w:rsidR="00390429" w:rsidRDefault="00390429" w:rsidP="00B166EC">
      <w:pPr>
        <w:pStyle w:val="BodyText"/>
        <w:ind w:left="0"/>
      </w:pPr>
    </w:p>
    <w:p w14:paraId="5CAE2187" w14:textId="77777777" w:rsidR="002442B9" w:rsidRDefault="002442B9" w:rsidP="00B166EC">
      <w:pPr>
        <w:pStyle w:val="BodyText"/>
        <w:ind w:left="0"/>
        <w:rPr>
          <w:b/>
          <w:bCs/>
        </w:rPr>
      </w:pPr>
    </w:p>
    <w:p w14:paraId="4C75574B" w14:textId="06C55DDA" w:rsidR="00390429" w:rsidRDefault="00390429" w:rsidP="00B166EC">
      <w:pPr>
        <w:pStyle w:val="BodyText"/>
        <w:ind w:left="0"/>
      </w:pPr>
      <w:r w:rsidRPr="00C71768">
        <w:rPr>
          <w:b/>
          <w:bCs/>
        </w:rPr>
        <w:t>Name of Certifying Official (Print):</w:t>
      </w:r>
      <w:r>
        <w:t xml:space="preserve"> ______________________________________________</w:t>
      </w:r>
    </w:p>
    <w:p w14:paraId="3A70571B" w14:textId="02CA7078" w:rsidR="00390429" w:rsidRDefault="00390429" w:rsidP="00B166EC">
      <w:pPr>
        <w:pStyle w:val="BodyText"/>
        <w:ind w:left="0"/>
      </w:pPr>
    </w:p>
    <w:p w14:paraId="50A1C3E3" w14:textId="77777777" w:rsidR="002442B9" w:rsidRDefault="002442B9" w:rsidP="00B166EC">
      <w:pPr>
        <w:pStyle w:val="BodyText"/>
        <w:ind w:left="0"/>
        <w:rPr>
          <w:b/>
          <w:bCs/>
        </w:rPr>
      </w:pPr>
    </w:p>
    <w:p w14:paraId="2B494DEA" w14:textId="1F490DC3" w:rsidR="00390429" w:rsidRDefault="00390429" w:rsidP="00B166EC">
      <w:pPr>
        <w:pStyle w:val="BodyText"/>
        <w:ind w:left="0"/>
      </w:pPr>
      <w:r w:rsidRPr="002442B9">
        <w:rPr>
          <w:b/>
          <w:bCs/>
        </w:rPr>
        <w:t>Title:</w:t>
      </w:r>
      <w:r>
        <w:t xml:space="preserve"> __________________________________________________________</w:t>
      </w:r>
    </w:p>
    <w:p w14:paraId="5C116462" w14:textId="2244D7E6" w:rsidR="00390429" w:rsidRDefault="00390429" w:rsidP="00B166EC">
      <w:pPr>
        <w:pStyle w:val="BodyText"/>
        <w:ind w:left="0"/>
      </w:pPr>
    </w:p>
    <w:p w14:paraId="2873E9DD" w14:textId="77777777" w:rsidR="002442B9" w:rsidRDefault="002442B9" w:rsidP="00B166EC">
      <w:pPr>
        <w:pStyle w:val="BodyText"/>
        <w:ind w:left="0"/>
        <w:rPr>
          <w:b/>
          <w:bCs/>
        </w:rPr>
      </w:pPr>
    </w:p>
    <w:p w14:paraId="461B534B" w14:textId="68E4B155" w:rsidR="00390429" w:rsidRDefault="00390429" w:rsidP="00B166EC">
      <w:pPr>
        <w:pStyle w:val="BodyText"/>
        <w:ind w:left="0"/>
      </w:pPr>
      <w:r w:rsidRPr="002442B9">
        <w:rPr>
          <w:b/>
          <w:bCs/>
        </w:rPr>
        <w:t>Date of Certification (mm/dd/</w:t>
      </w:r>
      <w:proofErr w:type="spellStart"/>
      <w:r w:rsidRPr="002442B9">
        <w:rPr>
          <w:b/>
          <w:bCs/>
        </w:rPr>
        <w:t>yyyy</w:t>
      </w:r>
      <w:proofErr w:type="spellEnd"/>
      <w:r w:rsidRPr="002442B9">
        <w:rPr>
          <w:b/>
          <w:bCs/>
        </w:rPr>
        <w:t xml:space="preserve">): </w:t>
      </w:r>
      <w:r>
        <w:t>______________________________________________</w:t>
      </w:r>
    </w:p>
    <w:p w14:paraId="49F8DC8C" w14:textId="77777777" w:rsidR="00390429" w:rsidRDefault="00390429" w:rsidP="00B166EC">
      <w:pPr>
        <w:pStyle w:val="BodyText"/>
        <w:ind w:left="0"/>
      </w:pPr>
    </w:p>
    <w:p w14:paraId="3AE6DBA3" w14:textId="77777777" w:rsidR="003A6834" w:rsidRDefault="003A6834" w:rsidP="00B166EC">
      <w:pPr>
        <w:pStyle w:val="BodyText"/>
        <w:ind w:left="0"/>
      </w:pPr>
    </w:p>
    <w:p w14:paraId="15E653CF" w14:textId="77777777" w:rsidR="003A6834" w:rsidRDefault="003A6834" w:rsidP="00B166EC">
      <w:pPr>
        <w:pStyle w:val="BodyText"/>
        <w:ind w:left="0"/>
      </w:pPr>
    </w:p>
    <w:p w14:paraId="24D51AB9" w14:textId="77777777" w:rsidR="003A6834" w:rsidRDefault="003A6834" w:rsidP="00B166EC">
      <w:pPr>
        <w:pStyle w:val="BodyText"/>
        <w:ind w:left="0"/>
      </w:pPr>
    </w:p>
    <w:p w14:paraId="22C2BED0" w14:textId="77777777" w:rsidR="003A6834" w:rsidRDefault="003A6834" w:rsidP="00B166EC">
      <w:pPr>
        <w:pStyle w:val="BodyText"/>
        <w:ind w:left="0"/>
      </w:pPr>
    </w:p>
    <w:p w14:paraId="50CF7C19" w14:textId="77777777" w:rsidR="003A6834" w:rsidRDefault="003A6834" w:rsidP="00B166EC">
      <w:pPr>
        <w:pStyle w:val="BodyText"/>
        <w:ind w:left="0"/>
      </w:pPr>
    </w:p>
    <w:p w14:paraId="0B448E88" w14:textId="77777777" w:rsidR="003A6834" w:rsidRDefault="003A6834" w:rsidP="00B166EC">
      <w:pPr>
        <w:pStyle w:val="BodyText"/>
        <w:ind w:left="0"/>
      </w:pPr>
    </w:p>
    <w:p w14:paraId="4821E2C5" w14:textId="77777777" w:rsidR="003A6834" w:rsidRDefault="003A6834" w:rsidP="00B166EC">
      <w:pPr>
        <w:pStyle w:val="BodyText"/>
        <w:ind w:left="0"/>
      </w:pPr>
    </w:p>
    <w:p w14:paraId="0B17798A" w14:textId="77777777" w:rsidR="003A6834" w:rsidRDefault="003A6834" w:rsidP="00B166EC">
      <w:pPr>
        <w:pStyle w:val="BodyText"/>
        <w:ind w:left="0"/>
      </w:pPr>
    </w:p>
    <w:p w14:paraId="3B567161" w14:textId="77777777" w:rsidR="003A6834" w:rsidRDefault="003A6834" w:rsidP="00B166EC">
      <w:pPr>
        <w:pStyle w:val="BodyText"/>
        <w:ind w:left="0"/>
      </w:pPr>
    </w:p>
    <w:p w14:paraId="3B204B07" w14:textId="77777777" w:rsidR="003A6834" w:rsidRDefault="003A6834" w:rsidP="00B166EC">
      <w:pPr>
        <w:pStyle w:val="BodyText"/>
        <w:ind w:left="0"/>
      </w:pPr>
    </w:p>
    <w:p w14:paraId="34629C2D" w14:textId="77777777" w:rsidR="003A6834" w:rsidRDefault="003A6834" w:rsidP="00B166EC">
      <w:pPr>
        <w:pStyle w:val="BodyText"/>
        <w:ind w:left="0"/>
      </w:pPr>
    </w:p>
    <w:p w14:paraId="7D143486" w14:textId="77777777" w:rsidR="003A6834" w:rsidRDefault="003A6834" w:rsidP="00B166EC">
      <w:pPr>
        <w:pStyle w:val="BodyText"/>
        <w:ind w:left="0"/>
      </w:pPr>
    </w:p>
    <w:p w14:paraId="491D9ED3" w14:textId="77777777" w:rsidR="003A6834" w:rsidRDefault="003A6834" w:rsidP="00B166EC">
      <w:pPr>
        <w:pStyle w:val="BodyText"/>
        <w:ind w:left="0"/>
      </w:pPr>
    </w:p>
    <w:p w14:paraId="3EFDD6EA" w14:textId="77777777" w:rsidR="003A6834" w:rsidRDefault="003A6834" w:rsidP="00B166EC">
      <w:pPr>
        <w:pStyle w:val="BodyText"/>
        <w:ind w:left="0"/>
      </w:pPr>
    </w:p>
    <w:p w14:paraId="205FAA34" w14:textId="77777777" w:rsidR="003A6834" w:rsidRDefault="003A6834" w:rsidP="00B166EC">
      <w:pPr>
        <w:pStyle w:val="BodyText"/>
        <w:ind w:left="0"/>
      </w:pPr>
    </w:p>
    <w:p w14:paraId="5E943FAC" w14:textId="77777777" w:rsidR="003A6834" w:rsidRDefault="003A6834" w:rsidP="00B166EC">
      <w:pPr>
        <w:pStyle w:val="BodyText"/>
        <w:ind w:left="0"/>
      </w:pPr>
    </w:p>
    <w:p w14:paraId="6B0EAA35" w14:textId="77777777" w:rsidR="003A6834" w:rsidRDefault="003A6834" w:rsidP="00B166EC">
      <w:pPr>
        <w:pStyle w:val="BodyText"/>
        <w:ind w:left="0"/>
      </w:pPr>
    </w:p>
    <w:p w14:paraId="44AAEB14" w14:textId="77777777" w:rsidR="003A6834" w:rsidRDefault="003A6834" w:rsidP="00B166EC">
      <w:pPr>
        <w:pStyle w:val="BodyText"/>
        <w:ind w:left="0"/>
      </w:pPr>
    </w:p>
    <w:p w14:paraId="3AA5BF5E" w14:textId="77777777" w:rsidR="003A6834" w:rsidRDefault="003A6834" w:rsidP="00B166EC">
      <w:pPr>
        <w:pStyle w:val="BodyText"/>
        <w:ind w:left="0"/>
      </w:pPr>
    </w:p>
    <w:p w14:paraId="5C6DDEAB" w14:textId="77777777" w:rsidR="003A6834" w:rsidRDefault="003A6834" w:rsidP="00B166EC">
      <w:pPr>
        <w:pStyle w:val="BodyText"/>
        <w:ind w:left="0"/>
      </w:pPr>
    </w:p>
    <w:p w14:paraId="040DBB35" w14:textId="77777777" w:rsidR="003A6834" w:rsidRDefault="003A6834" w:rsidP="00B166EC">
      <w:pPr>
        <w:pStyle w:val="BodyText"/>
        <w:ind w:left="0"/>
      </w:pPr>
    </w:p>
    <w:p w14:paraId="5B66A11E" w14:textId="77777777" w:rsidR="003A6834" w:rsidRDefault="003A6834" w:rsidP="00B166EC">
      <w:pPr>
        <w:pStyle w:val="BodyText"/>
        <w:ind w:left="0"/>
      </w:pPr>
    </w:p>
    <w:p w14:paraId="2DD1A47C" w14:textId="77777777" w:rsidR="003A6834" w:rsidRDefault="003A6834" w:rsidP="00B166EC">
      <w:pPr>
        <w:pStyle w:val="BodyText"/>
        <w:ind w:left="0"/>
      </w:pPr>
    </w:p>
    <w:p w14:paraId="39E6A3CB" w14:textId="77777777" w:rsidR="003A6834" w:rsidRDefault="003A6834" w:rsidP="00B166EC">
      <w:pPr>
        <w:pStyle w:val="BodyText"/>
        <w:ind w:left="0"/>
      </w:pPr>
    </w:p>
    <w:p w14:paraId="41580337" w14:textId="77777777" w:rsidR="003A6834" w:rsidRDefault="003A6834" w:rsidP="00B166EC">
      <w:pPr>
        <w:pStyle w:val="BodyText"/>
        <w:ind w:left="0"/>
      </w:pPr>
    </w:p>
    <w:p w14:paraId="162F9B62" w14:textId="77777777" w:rsidR="003A6834" w:rsidRDefault="003A6834" w:rsidP="00B166EC">
      <w:pPr>
        <w:pStyle w:val="BodyText"/>
        <w:ind w:left="0"/>
      </w:pPr>
    </w:p>
    <w:p w14:paraId="3925CAB7" w14:textId="77777777" w:rsidR="003A6834" w:rsidRDefault="003A6834" w:rsidP="00B166EC">
      <w:pPr>
        <w:pStyle w:val="BodyText"/>
        <w:ind w:left="0"/>
      </w:pPr>
    </w:p>
    <w:p w14:paraId="6E761D40" w14:textId="77777777" w:rsidR="003A6834" w:rsidRDefault="003A6834" w:rsidP="00B166EC">
      <w:pPr>
        <w:pStyle w:val="BodyText"/>
        <w:ind w:left="0"/>
      </w:pPr>
    </w:p>
    <w:p w14:paraId="5CF15EC0" w14:textId="77777777" w:rsidR="003A6834" w:rsidRDefault="003A6834" w:rsidP="00B166EC">
      <w:pPr>
        <w:pStyle w:val="BodyText"/>
        <w:ind w:left="0"/>
      </w:pPr>
    </w:p>
    <w:p w14:paraId="75E196B9" w14:textId="77777777" w:rsidR="003A6834" w:rsidRDefault="003A6834" w:rsidP="00B166EC">
      <w:pPr>
        <w:pStyle w:val="BodyText"/>
        <w:ind w:left="0"/>
      </w:pPr>
    </w:p>
    <w:p w14:paraId="1C2AD7A3" w14:textId="76CC18A7" w:rsidR="003A6834" w:rsidRDefault="003A6834" w:rsidP="003A6834">
      <w:pPr>
        <w:pStyle w:val="AppendixHeading"/>
      </w:pPr>
      <w:r w:rsidRPr="009B12BB">
        <w:t xml:space="preserve">Appendix </w:t>
      </w:r>
      <w:r>
        <w:t>C: Required Contract Provisions</w:t>
      </w:r>
    </w:p>
    <w:p w14:paraId="048313A1" w14:textId="77777777" w:rsidR="003A6834" w:rsidRDefault="003A6834" w:rsidP="00B166EC">
      <w:pPr>
        <w:pStyle w:val="BodyText"/>
        <w:ind w:left="0"/>
      </w:pPr>
    </w:p>
    <w:p w14:paraId="6937A588" w14:textId="77777777" w:rsidR="003A6834" w:rsidRDefault="003A6834" w:rsidP="00B166EC">
      <w:pPr>
        <w:pStyle w:val="BodyText"/>
        <w:ind w:left="0"/>
      </w:pPr>
    </w:p>
    <w:p w14:paraId="3745DB2E" w14:textId="77777777" w:rsidR="003A6834" w:rsidRDefault="003A6834" w:rsidP="00B166EC">
      <w:pPr>
        <w:pStyle w:val="BodyText"/>
        <w:ind w:left="0"/>
      </w:pPr>
    </w:p>
    <w:p w14:paraId="3D298A79" w14:textId="77777777" w:rsidR="003A6834" w:rsidRDefault="003A6834" w:rsidP="00B166EC">
      <w:pPr>
        <w:pStyle w:val="BodyText"/>
        <w:ind w:left="0"/>
      </w:pPr>
    </w:p>
    <w:p w14:paraId="34115996" w14:textId="77777777" w:rsidR="003A6834" w:rsidRDefault="003A6834" w:rsidP="00B166EC">
      <w:pPr>
        <w:pStyle w:val="BodyText"/>
        <w:ind w:left="0"/>
      </w:pPr>
    </w:p>
    <w:p w14:paraId="4A930C62" w14:textId="77777777" w:rsidR="003A6834" w:rsidRDefault="003A6834" w:rsidP="00B166EC">
      <w:pPr>
        <w:pStyle w:val="BodyText"/>
        <w:ind w:left="0"/>
      </w:pPr>
    </w:p>
    <w:p w14:paraId="198BCB55" w14:textId="77777777" w:rsidR="003A6834" w:rsidRDefault="003A6834" w:rsidP="00B166EC">
      <w:pPr>
        <w:pStyle w:val="BodyText"/>
        <w:ind w:left="0"/>
      </w:pPr>
    </w:p>
    <w:p w14:paraId="7414F6A8" w14:textId="77777777" w:rsidR="003A6834" w:rsidRDefault="003A6834" w:rsidP="00B166EC">
      <w:pPr>
        <w:pStyle w:val="BodyText"/>
        <w:ind w:left="0"/>
      </w:pPr>
    </w:p>
    <w:p w14:paraId="499B9B38" w14:textId="77777777" w:rsidR="003A6834" w:rsidRDefault="003A6834" w:rsidP="00B166EC">
      <w:pPr>
        <w:pStyle w:val="BodyText"/>
        <w:ind w:left="0"/>
      </w:pPr>
    </w:p>
    <w:p w14:paraId="68DD89CA" w14:textId="77777777" w:rsidR="003A6834" w:rsidRDefault="003A6834" w:rsidP="00B166EC">
      <w:pPr>
        <w:pStyle w:val="BodyText"/>
        <w:ind w:left="0"/>
      </w:pPr>
    </w:p>
    <w:p w14:paraId="7F1E05F5" w14:textId="77777777" w:rsidR="003A6834" w:rsidRDefault="003A6834" w:rsidP="00B166EC">
      <w:pPr>
        <w:pStyle w:val="BodyText"/>
        <w:ind w:left="0"/>
      </w:pPr>
    </w:p>
    <w:p w14:paraId="0F26FB4D" w14:textId="77777777" w:rsidR="003A6834" w:rsidRDefault="003A6834" w:rsidP="00B166EC">
      <w:pPr>
        <w:pStyle w:val="BodyText"/>
        <w:ind w:left="0"/>
      </w:pPr>
    </w:p>
    <w:p w14:paraId="7C323CF9" w14:textId="77777777" w:rsidR="003A6834" w:rsidRDefault="003A6834" w:rsidP="00B166EC">
      <w:pPr>
        <w:pStyle w:val="BodyText"/>
        <w:ind w:left="0"/>
      </w:pPr>
    </w:p>
    <w:p w14:paraId="533DE361" w14:textId="77777777" w:rsidR="003A6834" w:rsidRDefault="003A6834" w:rsidP="00B166EC">
      <w:pPr>
        <w:pStyle w:val="BodyText"/>
        <w:ind w:left="0"/>
      </w:pPr>
    </w:p>
    <w:p w14:paraId="6D112C60" w14:textId="77777777" w:rsidR="003A6834" w:rsidRDefault="003A6834" w:rsidP="00B166EC">
      <w:pPr>
        <w:pStyle w:val="BodyText"/>
        <w:ind w:left="0"/>
      </w:pPr>
    </w:p>
    <w:p w14:paraId="27B23F31" w14:textId="77777777" w:rsidR="003A6834" w:rsidRDefault="003A6834" w:rsidP="00B166EC">
      <w:pPr>
        <w:pStyle w:val="BodyText"/>
        <w:ind w:left="0"/>
      </w:pPr>
    </w:p>
    <w:p w14:paraId="3163755A" w14:textId="77777777" w:rsidR="003A6834" w:rsidRDefault="003A6834" w:rsidP="00B166EC">
      <w:pPr>
        <w:pStyle w:val="BodyText"/>
        <w:ind w:left="0"/>
      </w:pPr>
    </w:p>
    <w:p w14:paraId="59C0CD88" w14:textId="77777777" w:rsidR="003A6834" w:rsidRDefault="003A6834" w:rsidP="00B166EC">
      <w:pPr>
        <w:pStyle w:val="BodyText"/>
        <w:ind w:left="0"/>
      </w:pPr>
    </w:p>
    <w:p w14:paraId="26A7B1F1" w14:textId="77777777" w:rsidR="003A6834" w:rsidRDefault="003A6834" w:rsidP="00B166EC">
      <w:pPr>
        <w:pStyle w:val="BodyText"/>
        <w:ind w:left="0"/>
      </w:pPr>
    </w:p>
    <w:p w14:paraId="73B066FC" w14:textId="77777777" w:rsidR="003A6834" w:rsidRDefault="003A6834" w:rsidP="00B166EC">
      <w:pPr>
        <w:pStyle w:val="BodyText"/>
        <w:ind w:left="0"/>
      </w:pPr>
    </w:p>
    <w:p w14:paraId="2EB117A3" w14:textId="77777777" w:rsidR="003A6834" w:rsidRDefault="003A6834" w:rsidP="00B166EC">
      <w:pPr>
        <w:pStyle w:val="BodyText"/>
        <w:ind w:left="0"/>
      </w:pPr>
    </w:p>
    <w:p w14:paraId="108E603C" w14:textId="77777777" w:rsidR="003A6834" w:rsidRDefault="003A6834" w:rsidP="00B166EC">
      <w:pPr>
        <w:pStyle w:val="BodyText"/>
        <w:ind w:left="0"/>
      </w:pPr>
    </w:p>
    <w:p w14:paraId="68384CF8" w14:textId="77777777" w:rsidR="003A6834" w:rsidRDefault="003A6834" w:rsidP="00B166EC">
      <w:pPr>
        <w:pStyle w:val="BodyText"/>
        <w:ind w:left="0"/>
      </w:pPr>
    </w:p>
    <w:p w14:paraId="038769B2" w14:textId="77777777" w:rsidR="003A6834" w:rsidRDefault="003A6834" w:rsidP="00B166EC">
      <w:pPr>
        <w:pStyle w:val="BodyText"/>
        <w:ind w:left="0"/>
      </w:pPr>
    </w:p>
    <w:p w14:paraId="64D86EDC" w14:textId="77777777" w:rsidR="003A6834" w:rsidRDefault="003A6834" w:rsidP="00B166EC">
      <w:pPr>
        <w:pStyle w:val="BodyText"/>
        <w:ind w:left="0"/>
      </w:pPr>
    </w:p>
    <w:p w14:paraId="7655FD06" w14:textId="77777777" w:rsidR="000225CB" w:rsidRPr="000225CB" w:rsidRDefault="000225CB" w:rsidP="000225CB">
      <w:pPr>
        <w:spacing w:after="200" w:line="276" w:lineRule="auto"/>
        <w:ind w:left="0"/>
        <w:jc w:val="center"/>
        <w:rPr>
          <w:rFonts w:ascii="Aptos" w:eastAsia="Times New Roman" w:hAnsi="Aptos" w:cs="Calibri"/>
          <w:b/>
          <w:bCs/>
          <w:color w:val="auto"/>
          <w:sz w:val="20"/>
          <w:szCs w:val="20"/>
        </w:rPr>
      </w:pPr>
      <w:r w:rsidRPr="000225CB">
        <w:rPr>
          <w:rFonts w:ascii="Aptos" w:eastAsia="Times New Roman" w:hAnsi="Aptos" w:cs="Calibri"/>
          <w:b/>
          <w:bCs/>
          <w:color w:val="auto"/>
          <w:sz w:val="20"/>
          <w:szCs w:val="20"/>
        </w:rPr>
        <w:lastRenderedPageBreak/>
        <w:t>Required Federal Contract Provisions</w:t>
      </w:r>
    </w:p>
    <w:p w14:paraId="5BD8C1E5" w14:textId="77777777" w:rsidR="000225CB" w:rsidRPr="000225CB" w:rsidRDefault="000225CB" w:rsidP="000225CB">
      <w:pPr>
        <w:pBdr>
          <w:top w:val="single" w:sz="4" w:space="1" w:color="auto"/>
          <w:bottom w:val="single" w:sz="4" w:space="1" w:color="auto"/>
        </w:pBdr>
        <w:tabs>
          <w:tab w:val="right" w:pos="9360"/>
        </w:tabs>
        <w:spacing w:after="200" w:line="276" w:lineRule="auto"/>
        <w:ind w:left="0"/>
        <w:rPr>
          <w:rFonts w:ascii="Aptos" w:eastAsia="Times New Roman" w:hAnsi="Aptos" w:cs="Calibri"/>
          <w:b/>
          <w:bCs/>
          <w:caps/>
          <w:color w:val="auto"/>
          <w:sz w:val="22"/>
          <w:szCs w:val="22"/>
        </w:rPr>
      </w:pPr>
      <w:r w:rsidRPr="000225CB">
        <w:rPr>
          <w:rFonts w:ascii="Aptos" w:eastAsia="Times New Roman" w:hAnsi="Aptos" w:cs="Calibri"/>
          <w:b/>
          <w:bCs/>
          <w:caps/>
          <w:color w:val="auto"/>
          <w:sz w:val="22"/>
          <w:szCs w:val="22"/>
        </w:rPr>
        <w:t>Compliance Review Note:</w:t>
      </w:r>
      <w:r w:rsidRPr="000225CB">
        <w:rPr>
          <w:rFonts w:ascii="Aptos" w:eastAsia="Times New Roman" w:hAnsi="Aptos" w:cs="Calibri"/>
          <w:b/>
          <w:bCs/>
          <w:caps/>
          <w:color w:val="auto"/>
          <w:sz w:val="22"/>
          <w:szCs w:val="22"/>
        </w:rPr>
        <w:br/>
      </w:r>
      <w:r w:rsidRPr="000225CB">
        <w:rPr>
          <w:rFonts w:ascii="Aptos" w:eastAsia="Times New Roman" w:hAnsi="Aptos" w:cs="Calibri"/>
          <w:i/>
          <w:iCs/>
          <w:color w:val="auto"/>
          <w:sz w:val="22"/>
          <w:szCs w:val="22"/>
        </w:rPr>
        <w:t xml:space="preserve">The federal contract provisions contained in this document were reviewed for compliance with applicable regulations as of November 6, 2025. While every effort has been made to ensure alignment with current federal requirements, users are advised that regulatory changes may occur. This document reflects the standards in effect at the time of review and does not constitute a commitment to </w:t>
      </w:r>
      <w:proofErr w:type="gramStart"/>
      <w:r w:rsidRPr="000225CB">
        <w:rPr>
          <w:rFonts w:ascii="Aptos" w:eastAsia="Times New Roman" w:hAnsi="Aptos" w:cs="Calibri"/>
          <w:i/>
          <w:iCs/>
          <w:color w:val="auto"/>
          <w:sz w:val="22"/>
          <w:szCs w:val="22"/>
        </w:rPr>
        <w:t>update</w:t>
      </w:r>
      <w:proofErr w:type="gramEnd"/>
      <w:r w:rsidRPr="000225CB">
        <w:rPr>
          <w:rFonts w:ascii="Aptos" w:eastAsia="Times New Roman" w:hAnsi="Aptos" w:cs="Calibri"/>
          <w:i/>
          <w:iCs/>
          <w:color w:val="auto"/>
          <w:sz w:val="22"/>
          <w:szCs w:val="22"/>
        </w:rPr>
        <w:t xml:space="preserve"> contract provisions retroactively unless required by law or funding agency directive.</w:t>
      </w:r>
    </w:p>
    <w:p w14:paraId="25934BA1" w14:textId="77777777" w:rsidR="000225CB" w:rsidRPr="000225CB" w:rsidRDefault="000225CB" w:rsidP="000225CB">
      <w:pPr>
        <w:tabs>
          <w:tab w:val="right" w:pos="9360"/>
        </w:tabs>
        <w:spacing w:after="200" w:line="276" w:lineRule="auto"/>
        <w:ind w:left="0"/>
        <w:rPr>
          <w:rFonts w:ascii="Aptos" w:eastAsia="Times New Roman" w:hAnsi="Aptos" w:cs="Calibri"/>
          <w:color w:val="auto"/>
          <w:sz w:val="18"/>
          <w:szCs w:val="18"/>
        </w:rPr>
      </w:pPr>
      <w:r w:rsidRPr="000225CB">
        <w:rPr>
          <w:rFonts w:ascii="Aptos" w:eastAsia="Times New Roman" w:hAnsi="Aptos" w:cs="Calibri"/>
          <w:b/>
          <w:bCs/>
          <w:caps/>
          <w:color w:val="auto"/>
          <w:sz w:val="22"/>
          <w:szCs w:val="22"/>
        </w:rPr>
        <w:t xml:space="preserve">Buy America requirements </w:t>
      </w:r>
      <w:r w:rsidRPr="000225CB">
        <w:rPr>
          <w:rFonts w:ascii="Aptos" w:eastAsia="Times New Roman" w:hAnsi="Aptos" w:cs="Calibri"/>
          <w:b/>
          <w:bCs/>
          <w:color w:val="auto"/>
          <w:sz w:val="20"/>
          <w:szCs w:val="20"/>
        </w:rPr>
        <w:tab/>
      </w:r>
      <w:r w:rsidRPr="000225CB">
        <w:rPr>
          <w:rFonts w:ascii="Aptos" w:eastAsia="Times New Roman" w:hAnsi="Aptos" w:cs="Calibri"/>
          <w:color w:val="auto"/>
          <w:sz w:val="18"/>
          <w:szCs w:val="18"/>
        </w:rPr>
        <w:t>23 CFR 635.410</w:t>
      </w:r>
    </w:p>
    <w:p w14:paraId="1EC9265F" w14:textId="77777777" w:rsidR="000225CB" w:rsidRPr="000225CB" w:rsidRDefault="000225CB" w:rsidP="000225CB">
      <w:pPr>
        <w:numPr>
          <w:ilvl w:val="0"/>
          <w:numId w:val="54"/>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The provisions of this section shall prevail and be given precedence over any requirements of this subpart which are contrary to this section. However, nothing in this section shall be construed to be contrary to the requirements of §</w:t>
      </w:r>
      <w:r w:rsidRPr="000225CB">
        <w:rPr>
          <w:rFonts w:ascii="Arial" w:eastAsia="Times New Roman" w:hAnsi="Arial" w:cs="Arial"/>
          <w:color w:val="000000"/>
          <w:sz w:val="20"/>
          <w:szCs w:val="20"/>
        </w:rPr>
        <w:t> </w:t>
      </w:r>
      <w:r w:rsidRPr="000225CB">
        <w:rPr>
          <w:rFonts w:ascii="Aptos" w:eastAsia="Times New Roman" w:hAnsi="Aptos" w:cs="Arial"/>
          <w:color w:val="000000"/>
          <w:sz w:val="20"/>
          <w:szCs w:val="20"/>
        </w:rPr>
        <w:t>635.409(a) of this subpart.</w:t>
      </w:r>
    </w:p>
    <w:p w14:paraId="25D1DDE9" w14:textId="77777777" w:rsidR="000225CB" w:rsidRPr="000225CB" w:rsidRDefault="000225CB" w:rsidP="000225CB">
      <w:pPr>
        <w:numPr>
          <w:ilvl w:val="0"/>
          <w:numId w:val="54"/>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No Federal-aid highway construction project is to be authorized for advertisement or otherwise authorized to proceed unless at least one of the following requirements is met:</w:t>
      </w:r>
    </w:p>
    <w:p w14:paraId="7F3AED7C" w14:textId="77777777" w:rsidR="000225CB" w:rsidRPr="000225CB" w:rsidRDefault="000225CB" w:rsidP="000225CB">
      <w:pPr>
        <w:numPr>
          <w:ilvl w:val="0"/>
          <w:numId w:val="55"/>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The project either: (</w:t>
      </w:r>
      <w:proofErr w:type="spellStart"/>
      <w:r w:rsidRPr="000225CB">
        <w:rPr>
          <w:rFonts w:ascii="Aptos" w:eastAsia="Times New Roman" w:hAnsi="Aptos" w:cs="Arial"/>
          <w:color w:val="000000"/>
          <w:sz w:val="20"/>
          <w:szCs w:val="20"/>
        </w:rPr>
        <w:t>i</w:t>
      </w:r>
      <w:proofErr w:type="spellEnd"/>
      <w:r w:rsidRPr="000225CB">
        <w:rPr>
          <w:rFonts w:ascii="Aptos" w:eastAsia="Times New Roman" w:hAnsi="Aptos" w:cs="Arial"/>
          <w:color w:val="000000"/>
          <w:sz w:val="20"/>
          <w:szCs w:val="20"/>
        </w:rPr>
        <w:t>) Includes no permanently incorporated steel or iron materials, or (ii) if steel or iron materials are to be used, all manufacturing processes, including application of a coating, for these materials must occur in the United States. Coating includes all processes which protect or enhance the value of the material to which the coating is applied.</w:t>
      </w:r>
    </w:p>
    <w:p w14:paraId="12B5B6F2" w14:textId="77777777" w:rsidR="000225CB" w:rsidRPr="000225CB" w:rsidRDefault="000225CB" w:rsidP="000225CB">
      <w:pPr>
        <w:numPr>
          <w:ilvl w:val="0"/>
          <w:numId w:val="55"/>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The State has standard contract provisions that require the use of domestic materials and products, including steel and iron materials, to the same or greater extent as the provisions set forth in this section.</w:t>
      </w:r>
    </w:p>
    <w:p w14:paraId="60380FFE" w14:textId="77777777" w:rsidR="000225CB" w:rsidRPr="000225CB" w:rsidRDefault="000225CB" w:rsidP="000225CB">
      <w:pPr>
        <w:numPr>
          <w:ilvl w:val="0"/>
          <w:numId w:val="55"/>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 xml:space="preserve">The State elects to include alternate bid provisions for foreign and domestic steel and iron materials which comply with the following requirements. Any procedure for obtaining alternate bids based on furnishing foreign steel and iron materials which </w:t>
      </w:r>
      <w:proofErr w:type="gramStart"/>
      <w:r w:rsidRPr="000225CB">
        <w:rPr>
          <w:rFonts w:ascii="Aptos" w:eastAsia="Times New Roman" w:hAnsi="Aptos" w:cs="Arial"/>
          <w:color w:val="000000"/>
          <w:sz w:val="20"/>
          <w:szCs w:val="20"/>
        </w:rPr>
        <w:t>is</w:t>
      </w:r>
      <w:proofErr w:type="gramEnd"/>
      <w:r w:rsidRPr="000225CB">
        <w:rPr>
          <w:rFonts w:ascii="Aptos" w:eastAsia="Times New Roman" w:hAnsi="Aptos" w:cs="Arial"/>
          <w:color w:val="000000"/>
          <w:sz w:val="20"/>
          <w:szCs w:val="20"/>
        </w:rPr>
        <w:t xml:space="preserve"> acceptable to the Division Administrator may be used. The contract provisions must (</w:t>
      </w:r>
      <w:proofErr w:type="spellStart"/>
      <w:r w:rsidRPr="000225CB">
        <w:rPr>
          <w:rFonts w:ascii="Aptos" w:eastAsia="Times New Roman" w:hAnsi="Aptos" w:cs="Arial"/>
          <w:color w:val="000000"/>
          <w:sz w:val="20"/>
          <w:szCs w:val="20"/>
        </w:rPr>
        <w:t>i</w:t>
      </w:r>
      <w:proofErr w:type="spellEnd"/>
      <w:r w:rsidRPr="000225CB">
        <w:rPr>
          <w:rFonts w:ascii="Aptos" w:eastAsia="Times New Roman" w:hAnsi="Aptos" w:cs="Arial"/>
          <w:color w:val="000000"/>
          <w:sz w:val="20"/>
          <w:szCs w:val="20"/>
        </w:rPr>
        <w:t>) require all bidders to submit a bid based on furnishing domestic steel and iron materials, and (ii) clearly state that the contract will be awarded to the bidder who submits the lowest total bid based on furnishing domestic steel and iron materials unless such total bid exceeds the lowest total bid based on furnishing foreign steel and iron materials by more than 25 percent.</w:t>
      </w:r>
    </w:p>
    <w:p w14:paraId="61CA784F" w14:textId="77777777" w:rsidR="000225CB" w:rsidRPr="000225CB" w:rsidRDefault="000225CB" w:rsidP="000225CB">
      <w:pPr>
        <w:numPr>
          <w:ilvl w:val="0"/>
          <w:numId w:val="55"/>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 xml:space="preserve">When steel and iron materials are used in a project, the requirements of this section do not prevent a minimal use of foreign steel and iron materials, if the cost of such materials used does not exceed one-tenth of one percent (0.1 percent) of the total contract cost or $2,500, whichever is greater. For purposes of this paragraph, the cost </w:t>
      </w:r>
      <w:proofErr w:type="gramStart"/>
      <w:r w:rsidRPr="000225CB">
        <w:rPr>
          <w:rFonts w:ascii="Aptos" w:eastAsia="Times New Roman" w:hAnsi="Aptos" w:cs="Arial"/>
          <w:color w:val="000000"/>
          <w:sz w:val="20"/>
          <w:szCs w:val="20"/>
        </w:rPr>
        <w:t>is that</w:t>
      </w:r>
      <w:proofErr w:type="gramEnd"/>
      <w:r w:rsidRPr="000225CB">
        <w:rPr>
          <w:rFonts w:ascii="Aptos" w:eastAsia="Times New Roman" w:hAnsi="Aptos" w:cs="Arial"/>
          <w:color w:val="000000"/>
          <w:sz w:val="20"/>
          <w:szCs w:val="20"/>
        </w:rPr>
        <w:t xml:space="preserve"> shown to be the value of the steel and iron products as they are delivered to the project.</w:t>
      </w:r>
    </w:p>
    <w:p w14:paraId="2F766443" w14:textId="77777777" w:rsidR="000225CB" w:rsidRPr="000225CB" w:rsidRDefault="000225CB" w:rsidP="000225CB">
      <w:pPr>
        <w:numPr>
          <w:ilvl w:val="0"/>
          <w:numId w:val="54"/>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 xml:space="preserve">(1)   A State may request a waiver of the provisions of this section </w:t>
      </w:r>
      <w:proofErr w:type="gramStart"/>
      <w:r w:rsidRPr="000225CB">
        <w:rPr>
          <w:rFonts w:ascii="Aptos" w:eastAsia="Times New Roman" w:hAnsi="Aptos" w:cs="Arial"/>
          <w:color w:val="000000"/>
          <w:sz w:val="20"/>
          <w:szCs w:val="20"/>
        </w:rPr>
        <w:t>if;</w:t>
      </w:r>
      <w:proofErr w:type="gramEnd"/>
    </w:p>
    <w:p w14:paraId="6BF137F4" w14:textId="77777777" w:rsidR="000225CB" w:rsidRPr="000225CB" w:rsidRDefault="000225CB" w:rsidP="000225CB">
      <w:pPr>
        <w:numPr>
          <w:ilvl w:val="0"/>
          <w:numId w:val="56"/>
        </w:numPr>
        <w:spacing w:after="200" w:line="276" w:lineRule="auto"/>
        <w:ind w:left="1080" w:hanging="180"/>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The application of those provisions would be inconsistent with the public interest; or</w:t>
      </w:r>
    </w:p>
    <w:p w14:paraId="1FFC6EC6" w14:textId="77777777" w:rsidR="000225CB" w:rsidRPr="000225CB" w:rsidRDefault="000225CB" w:rsidP="000225CB">
      <w:pPr>
        <w:numPr>
          <w:ilvl w:val="0"/>
          <w:numId w:val="56"/>
        </w:numPr>
        <w:spacing w:after="200" w:line="276" w:lineRule="auto"/>
        <w:ind w:left="1080" w:hanging="180"/>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Steel and iron materials/products are not produced in the United States in sufficient and reasonably available quantities which are of a satisfactory quality.</w:t>
      </w:r>
    </w:p>
    <w:p w14:paraId="32326165" w14:textId="77777777" w:rsidR="000225CB" w:rsidRPr="000225CB" w:rsidRDefault="000225CB" w:rsidP="000225CB">
      <w:pPr>
        <w:numPr>
          <w:ilvl w:val="0"/>
          <w:numId w:val="57"/>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 xml:space="preserve">A request for waiver, accompanied by supporting information, must be submitted in writing to the Regional Federal Highway Administrator (RFHWA) through the FHWA Division Administrator. A request must be submitted sufficiently in advance of the need for the waiver </w:t>
      </w:r>
      <w:proofErr w:type="gramStart"/>
      <w:r w:rsidRPr="000225CB">
        <w:rPr>
          <w:rFonts w:ascii="Aptos" w:eastAsia="Times New Roman" w:hAnsi="Aptos" w:cs="Arial"/>
          <w:color w:val="000000"/>
          <w:sz w:val="20"/>
          <w:szCs w:val="20"/>
        </w:rPr>
        <w:t>in order to</w:t>
      </w:r>
      <w:proofErr w:type="gramEnd"/>
      <w:r w:rsidRPr="000225CB">
        <w:rPr>
          <w:rFonts w:ascii="Aptos" w:eastAsia="Times New Roman" w:hAnsi="Aptos" w:cs="Arial"/>
          <w:color w:val="000000"/>
          <w:sz w:val="20"/>
          <w:szCs w:val="20"/>
        </w:rPr>
        <w:t xml:space="preserve"> allow time for proper review and action on the request. The RFHWA will have approval authority on the request.</w:t>
      </w:r>
    </w:p>
    <w:p w14:paraId="51CF33C3" w14:textId="77777777" w:rsidR="000225CB" w:rsidRPr="000225CB" w:rsidRDefault="000225CB" w:rsidP="000225CB">
      <w:pPr>
        <w:numPr>
          <w:ilvl w:val="0"/>
          <w:numId w:val="57"/>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Requests for waivers may be made for specific projects, or for certain materials or products in specific geographic areas, or for combinations of both, depending on the circumstances.</w:t>
      </w:r>
    </w:p>
    <w:p w14:paraId="1501920A" w14:textId="77777777" w:rsidR="000225CB" w:rsidRPr="000225CB" w:rsidRDefault="000225CB" w:rsidP="000225CB">
      <w:pPr>
        <w:numPr>
          <w:ilvl w:val="0"/>
          <w:numId w:val="57"/>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The denial of the request by the RFHWA may be appealed by the State to the Federal Highway Administrator (Administrator), whose action on the request shall be considered administratively final.</w:t>
      </w:r>
    </w:p>
    <w:p w14:paraId="784C4712" w14:textId="77777777" w:rsidR="000225CB" w:rsidRPr="000225CB" w:rsidRDefault="000225CB" w:rsidP="000225CB">
      <w:pPr>
        <w:numPr>
          <w:ilvl w:val="0"/>
          <w:numId w:val="57"/>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A request for a waiver which involves nationwide public interest or availability issues or more than one FHWA region may be submitted by the RFHWA to the Administrator for action.</w:t>
      </w:r>
    </w:p>
    <w:p w14:paraId="214F7BA5" w14:textId="77777777" w:rsidR="000225CB" w:rsidRPr="000225CB" w:rsidRDefault="000225CB" w:rsidP="000225CB">
      <w:pPr>
        <w:numPr>
          <w:ilvl w:val="0"/>
          <w:numId w:val="57"/>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lastRenderedPageBreak/>
        <w:t>A request for waiver and an appeal from a denial of a request must include facts and justification to support the granting of the waiver. The FHWA response to a request or appeal will be in writing and made available to the public upon request. Any request for a nationwide waiver and FHWA's action on such a request may be published in the Federal Register for public comment.</w:t>
      </w:r>
    </w:p>
    <w:p w14:paraId="01473765" w14:textId="77777777" w:rsidR="000225CB" w:rsidRPr="000225CB" w:rsidRDefault="000225CB" w:rsidP="000225CB">
      <w:pPr>
        <w:numPr>
          <w:ilvl w:val="0"/>
          <w:numId w:val="57"/>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In determining whether the waivers described in paragraph (c)(1) of this section will be granted, the FHWA will consider all appropriate factors including, but not limited to, cost, administrative burden, and delay that would be imposed if the provision were not waived.</w:t>
      </w:r>
    </w:p>
    <w:p w14:paraId="2424D7FD" w14:textId="77777777" w:rsidR="000225CB" w:rsidRPr="000225CB" w:rsidRDefault="000225CB" w:rsidP="000225CB">
      <w:pPr>
        <w:numPr>
          <w:ilvl w:val="0"/>
          <w:numId w:val="54"/>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Standard State and Federal-aid contract procedures may be used to assure compliance with the requirements of this section.</w:t>
      </w:r>
    </w:p>
    <w:p w14:paraId="33EC9F22" w14:textId="77777777" w:rsidR="000225CB" w:rsidRDefault="000225CB" w:rsidP="000225CB">
      <w:pPr>
        <w:tabs>
          <w:tab w:val="right" w:pos="9360"/>
        </w:tabs>
        <w:spacing w:after="200" w:line="276" w:lineRule="auto"/>
        <w:ind w:left="0"/>
        <w:rPr>
          <w:rFonts w:ascii="Aptos" w:eastAsia="Times New Roman" w:hAnsi="Aptos" w:cs="Calibri"/>
          <w:b/>
          <w:bCs/>
          <w:caps/>
          <w:color w:val="auto"/>
          <w:sz w:val="22"/>
          <w:szCs w:val="22"/>
        </w:rPr>
      </w:pPr>
    </w:p>
    <w:p w14:paraId="36B8B3B2" w14:textId="77777777" w:rsidR="005F3CC8" w:rsidRDefault="005F3CC8" w:rsidP="000225CB">
      <w:pPr>
        <w:tabs>
          <w:tab w:val="right" w:pos="9360"/>
        </w:tabs>
        <w:spacing w:after="200" w:line="276" w:lineRule="auto"/>
        <w:ind w:left="0"/>
        <w:rPr>
          <w:rFonts w:ascii="Aptos" w:eastAsia="Times New Roman" w:hAnsi="Aptos" w:cs="Calibri"/>
          <w:b/>
          <w:bCs/>
          <w:caps/>
          <w:color w:val="auto"/>
          <w:sz w:val="22"/>
          <w:szCs w:val="22"/>
        </w:rPr>
      </w:pPr>
    </w:p>
    <w:p w14:paraId="34F8F1A4" w14:textId="77777777" w:rsidR="005F3CC8" w:rsidRDefault="005F3CC8" w:rsidP="000225CB">
      <w:pPr>
        <w:tabs>
          <w:tab w:val="right" w:pos="9360"/>
        </w:tabs>
        <w:spacing w:after="200" w:line="276" w:lineRule="auto"/>
        <w:ind w:left="0"/>
        <w:rPr>
          <w:rFonts w:ascii="Aptos" w:eastAsia="Times New Roman" w:hAnsi="Aptos" w:cs="Calibri"/>
          <w:b/>
          <w:bCs/>
          <w:caps/>
          <w:color w:val="auto"/>
          <w:sz w:val="22"/>
          <w:szCs w:val="22"/>
        </w:rPr>
      </w:pPr>
    </w:p>
    <w:p w14:paraId="366DEABC" w14:textId="77777777" w:rsidR="005F3CC8" w:rsidRDefault="005F3CC8" w:rsidP="000225CB">
      <w:pPr>
        <w:tabs>
          <w:tab w:val="right" w:pos="9360"/>
        </w:tabs>
        <w:spacing w:after="200" w:line="276" w:lineRule="auto"/>
        <w:ind w:left="0"/>
        <w:rPr>
          <w:rFonts w:ascii="Aptos" w:eastAsia="Times New Roman" w:hAnsi="Aptos" w:cs="Calibri"/>
          <w:b/>
          <w:bCs/>
          <w:caps/>
          <w:color w:val="auto"/>
          <w:sz w:val="22"/>
          <w:szCs w:val="22"/>
        </w:rPr>
      </w:pPr>
    </w:p>
    <w:p w14:paraId="04F51A88" w14:textId="77777777" w:rsidR="005F3CC8" w:rsidRDefault="005F3CC8" w:rsidP="000225CB">
      <w:pPr>
        <w:tabs>
          <w:tab w:val="right" w:pos="9360"/>
        </w:tabs>
        <w:spacing w:after="200" w:line="276" w:lineRule="auto"/>
        <w:ind w:left="0"/>
        <w:rPr>
          <w:rFonts w:ascii="Aptos" w:eastAsia="Times New Roman" w:hAnsi="Aptos" w:cs="Calibri"/>
          <w:b/>
          <w:bCs/>
          <w:caps/>
          <w:color w:val="auto"/>
          <w:sz w:val="22"/>
          <w:szCs w:val="22"/>
        </w:rPr>
      </w:pPr>
    </w:p>
    <w:p w14:paraId="347EC487" w14:textId="53C12671" w:rsidR="000225CB" w:rsidRPr="000225CB" w:rsidRDefault="000225CB" w:rsidP="000225CB">
      <w:pPr>
        <w:tabs>
          <w:tab w:val="right" w:pos="9360"/>
        </w:tabs>
        <w:spacing w:after="200" w:line="276" w:lineRule="auto"/>
        <w:ind w:left="0"/>
        <w:rPr>
          <w:rFonts w:ascii="Aptos" w:eastAsia="Times New Roman" w:hAnsi="Aptos" w:cs="Calibri"/>
          <w:color w:val="auto"/>
          <w:sz w:val="20"/>
          <w:szCs w:val="20"/>
        </w:rPr>
      </w:pPr>
      <w:r w:rsidRPr="000225CB">
        <w:rPr>
          <w:rFonts w:ascii="Aptos" w:eastAsia="Times New Roman" w:hAnsi="Aptos" w:cs="Calibri"/>
          <w:b/>
          <w:bCs/>
          <w:caps/>
          <w:color w:val="auto"/>
          <w:sz w:val="22"/>
          <w:szCs w:val="22"/>
        </w:rPr>
        <w:t>Equal Employment Opportunity Clause</w:t>
      </w:r>
      <w:r w:rsidRPr="000225CB">
        <w:rPr>
          <w:rFonts w:ascii="Aptos" w:eastAsia="Times New Roman" w:hAnsi="Aptos" w:cs="Calibri"/>
          <w:b/>
          <w:bCs/>
          <w:color w:val="auto"/>
          <w:sz w:val="20"/>
          <w:szCs w:val="20"/>
        </w:rPr>
        <w:tab/>
      </w:r>
      <w:r w:rsidRPr="000225CB">
        <w:rPr>
          <w:rFonts w:ascii="Aptos" w:eastAsia="Times New Roman" w:hAnsi="Aptos" w:cs="Calibri"/>
          <w:color w:val="auto"/>
          <w:sz w:val="18"/>
          <w:szCs w:val="18"/>
        </w:rPr>
        <w:t>41 CFR 60-1.4(b) and 2 CFR Part 200 Appendix II (C)</w:t>
      </w:r>
    </w:p>
    <w:p w14:paraId="7E46362F" w14:textId="77777777" w:rsidR="000225CB" w:rsidRPr="000225CB" w:rsidRDefault="000225CB" w:rsidP="000225CB">
      <w:pPr>
        <w:spacing w:after="200" w:line="276" w:lineRule="auto"/>
        <w:ind w:left="90"/>
        <w:rPr>
          <w:rFonts w:ascii="Aptos" w:eastAsia="Times New Roman" w:hAnsi="Aptos" w:cs="Calibri"/>
          <w:b/>
          <w:bCs/>
          <w:color w:val="auto"/>
          <w:sz w:val="20"/>
          <w:szCs w:val="20"/>
        </w:rPr>
      </w:pPr>
      <w:bookmarkStart w:id="25" w:name="_Hlk57909683"/>
      <w:r w:rsidRPr="000225CB">
        <w:rPr>
          <w:rFonts w:ascii="Aptos" w:eastAsia="Times New Roman" w:hAnsi="Aptos" w:cs="Calibri"/>
          <w:b/>
          <w:bCs/>
          <w:color w:val="auto"/>
          <w:sz w:val="20"/>
          <w:szCs w:val="20"/>
        </w:rPr>
        <w:t>41 CFR 60-1.4(a)</w:t>
      </w:r>
      <w:bookmarkEnd w:id="25"/>
    </w:p>
    <w:p w14:paraId="6699A80A" w14:textId="77777777" w:rsidR="000225CB" w:rsidRPr="000225CB" w:rsidRDefault="000225CB" w:rsidP="000225CB">
      <w:pPr>
        <w:numPr>
          <w:ilvl w:val="0"/>
          <w:numId w:val="58"/>
        </w:numPr>
        <w:tabs>
          <w:tab w:val="left" w:pos="9000"/>
          <w:tab w:val="left" w:pos="9360"/>
        </w:tabs>
        <w:spacing w:after="200" w:line="276" w:lineRule="auto"/>
        <w:ind w:left="450"/>
        <w:contextualSpacing/>
        <w:rPr>
          <w:rFonts w:ascii="Aptos" w:eastAsia="Times New Roman" w:hAnsi="Aptos" w:cs="Arial"/>
          <w:color w:val="000000"/>
          <w:sz w:val="20"/>
          <w:szCs w:val="20"/>
        </w:rPr>
      </w:pPr>
      <w:r w:rsidRPr="000225CB">
        <w:rPr>
          <w:rFonts w:ascii="Aptos" w:eastAsia="Times New Roman" w:hAnsi="Aptos" w:cs="Arial"/>
          <w:i/>
          <w:iCs/>
          <w:color w:val="000000"/>
          <w:sz w:val="20"/>
          <w:szCs w:val="20"/>
        </w:rPr>
        <w:t>Government contracts.</w:t>
      </w:r>
      <w:r w:rsidRPr="000225CB">
        <w:rPr>
          <w:rFonts w:ascii="Aptos" w:eastAsia="Times New Roman" w:hAnsi="Aptos" w:cs="Arial"/>
          <w:color w:val="000000"/>
          <w:sz w:val="20"/>
          <w:szCs w:val="20"/>
        </w:rPr>
        <w:t> Except as otherwise provided, each contracting agency shall include the following equal opportunity clause contained in section 202 of the order in each of its Government contracts (and modifications thereof if not included in the original contract):</w:t>
      </w:r>
    </w:p>
    <w:p w14:paraId="2FD06CB6" w14:textId="77777777" w:rsidR="000225CB" w:rsidRPr="000225CB" w:rsidRDefault="000225CB" w:rsidP="000225CB">
      <w:pPr>
        <w:spacing w:after="200" w:line="276" w:lineRule="auto"/>
        <w:ind w:left="360"/>
        <w:contextualSpacing/>
        <w:rPr>
          <w:rFonts w:ascii="Aptos" w:eastAsia="Times New Roman" w:hAnsi="Aptos" w:cs="Arial"/>
          <w:i/>
          <w:iCs/>
          <w:color w:val="000000"/>
          <w:sz w:val="20"/>
          <w:szCs w:val="20"/>
        </w:rPr>
      </w:pPr>
    </w:p>
    <w:p w14:paraId="69E75D3A" w14:textId="77777777" w:rsidR="000225CB" w:rsidRPr="000225CB" w:rsidRDefault="000225CB" w:rsidP="000225CB">
      <w:pPr>
        <w:spacing w:after="200" w:line="276" w:lineRule="auto"/>
        <w:ind w:left="360"/>
        <w:contextualSpacing/>
        <w:rPr>
          <w:rFonts w:ascii="Aptos" w:eastAsia="Times New Roman" w:hAnsi="Aptos" w:cs="Arial"/>
          <w:caps/>
          <w:color w:val="000000"/>
          <w:sz w:val="20"/>
          <w:szCs w:val="20"/>
        </w:rPr>
      </w:pPr>
      <w:r w:rsidRPr="000225CB">
        <w:rPr>
          <w:rFonts w:ascii="Aptos" w:eastAsia="Times New Roman" w:hAnsi="Aptos" w:cs="Arial"/>
          <w:color w:val="000000"/>
          <w:sz w:val="20"/>
          <w:szCs w:val="20"/>
        </w:rPr>
        <w:t>During the performance of this contract, the contractor agrees as follows:</w:t>
      </w:r>
    </w:p>
    <w:p w14:paraId="6BF0757A" w14:textId="77777777" w:rsidR="000225CB" w:rsidRPr="000225CB" w:rsidRDefault="000225CB" w:rsidP="000225CB">
      <w:pPr>
        <w:numPr>
          <w:ilvl w:val="0"/>
          <w:numId w:val="59"/>
        </w:numPr>
        <w:spacing w:after="200" w:line="276" w:lineRule="auto"/>
        <w:contextualSpacing/>
        <w:rPr>
          <w:rFonts w:ascii="Aptos" w:eastAsia="Times New Roman" w:hAnsi="Aptos" w:cs="Arial"/>
          <w:caps/>
          <w:color w:val="000000"/>
          <w:sz w:val="20"/>
          <w:szCs w:val="20"/>
        </w:rPr>
      </w:pPr>
      <w:r w:rsidRPr="000225CB">
        <w:rPr>
          <w:rFonts w:ascii="Aptos" w:eastAsia="Times New Roman" w:hAnsi="Aptos" w:cs="Arial"/>
          <w:color w:val="000000"/>
          <w:sz w:val="20"/>
          <w:szCs w:val="20"/>
        </w:rPr>
        <w:t>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actions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14:paraId="02D7A962" w14:textId="77777777" w:rsidR="000225CB" w:rsidRPr="000225CB" w:rsidRDefault="000225CB" w:rsidP="000225CB">
      <w:pPr>
        <w:numPr>
          <w:ilvl w:val="0"/>
          <w:numId w:val="59"/>
        </w:numPr>
        <w:spacing w:after="200" w:line="276" w:lineRule="auto"/>
        <w:contextualSpacing/>
        <w:rPr>
          <w:rFonts w:ascii="Aptos" w:eastAsia="Times New Roman" w:hAnsi="Aptos" w:cs="Arial"/>
          <w:caps/>
          <w:color w:val="000000"/>
          <w:sz w:val="20"/>
          <w:szCs w:val="20"/>
        </w:rPr>
      </w:pPr>
      <w:r w:rsidRPr="000225CB">
        <w:rPr>
          <w:rFonts w:ascii="Aptos" w:eastAsia="Times New Roman" w:hAnsi="Aptos" w:cs="Arial"/>
          <w:color w:val="000000"/>
          <w:sz w:val="20"/>
          <w:szCs w:val="20"/>
        </w:rPr>
        <w:t>The contractor will, in all solicitations or advertisements for employees placed by or on behalf of the contractor, state that all qualified applicants will receive consideration for employment without regard to race, color, religion, sex, or national origin.</w:t>
      </w:r>
    </w:p>
    <w:p w14:paraId="2689C2FC" w14:textId="77777777" w:rsidR="000225CB" w:rsidRPr="000225CB" w:rsidRDefault="000225CB" w:rsidP="000225CB">
      <w:pPr>
        <w:numPr>
          <w:ilvl w:val="0"/>
          <w:numId w:val="59"/>
        </w:numPr>
        <w:spacing w:after="200" w:line="276" w:lineRule="auto"/>
        <w:contextualSpacing/>
        <w:rPr>
          <w:rFonts w:ascii="Aptos" w:eastAsia="Times New Roman" w:hAnsi="Aptos" w:cs="Arial"/>
          <w:caps/>
          <w:color w:val="000000"/>
          <w:sz w:val="20"/>
          <w:szCs w:val="20"/>
        </w:rPr>
      </w:pPr>
      <w:r w:rsidRPr="000225CB">
        <w:rPr>
          <w:rFonts w:ascii="Aptos" w:eastAsia="Times New Roman" w:hAnsi="Aptos" w:cs="Arial"/>
          <w:color w:val="000000"/>
          <w:sz w:val="20"/>
          <w:szCs w:val="20"/>
        </w:rPr>
        <w:t>The contractor will send to each labor union or representative of workers with which he has a collective bargaining agreement or other contract or understanding, a notice to be provided by the agency contracting officer, advising the labor union or workers' representative of the contractor's commitments under section 202 of Executive Order 11246 of September 24, 1965, and shall post copies of the notice in conspicuous places available to employees and applicants for employment.</w:t>
      </w:r>
    </w:p>
    <w:p w14:paraId="0E0A01BD" w14:textId="77777777" w:rsidR="000225CB" w:rsidRPr="000225CB" w:rsidRDefault="000225CB" w:rsidP="000225CB">
      <w:pPr>
        <w:numPr>
          <w:ilvl w:val="0"/>
          <w:numId w:val="59"/>
        </w:numPr>
        <w:spacing w:after="200" w:line="276" w:lineRule="auto"/>
        <w:contextualSpacing/>
        <w:rPr>
          <w:rFonts w:ascii="Aptos" w:eastAsia="Times New Roman" w:hAnsi="Aptos" w:cs="Arial"/>
          <w:caps/>
          <w:color w:val="000000"/>
          <w:sz w:val="20"/>
          <w:szCs w:val="20"/>
        </w:rPr>
      </w:pPr>
      <w:r w:rsidRPr="000225CB">
        <w:rPr>
          <w:rFonts w:ascii="Aptos" w:eastAsia="Times New Roman" w:hAnsi="Aptos" w:cs="Arial"/>
          <w:color w:val="000000"/>
          <w:sz w:val="20"/>
          <w:szCs w:val="20"/>
        </w:rPr>
        <w:t>The contractor will comply with all provisions of Executive Order 11246 of September 24, 1965, and of the rules, regulations, and relevant orders of the Secretary of Labor.</w:t>
      </w:r>
    </w:p>
    <w:p w14:paraId="30F15F04" w14:textId="77777777" w:rsidR="000225CB" w:rsidRPr="000225CB" w:rsidRDefault="000225CB" w:rsidP="000225CB">
      <w:pPr>
        <w:numPr>
          <w:ilvl w:val="0"/>
          <w:numId w:val="59"/>
        </w:numPr>
        <w:spacing w:after="200" w:line="276" w:lineRule="auto"/>
        <w:contextualSpacing/>
        <w:rPr>
          <w:rFonts w:ascii="Aptos" w:eastAsia="Times New Roman" w:hAnsi="Aptos" w:cs="Arial"/>
          <w:caps/>
          <w:color w:val="000000"/>
          <w:sz w:val="20"/>
          <w:szCs w:val="20"/>
        </w:rPr>
      </w:pPr>
      <w:r w:rsidRPr="000225CB">
        <w:rPr>
          <w:rFonts w:ascii="Aptos" w:eastAsia="Times New Roman" w:hAnsi="Aptos" w:cs="Arial"/>
          <w:color w:val="000000"/>
          <w:sz w:val="20"/>
          <w:szCs w:val="20"/>
        </w:rPr>
        <w:t xml:space="preserve">The contractor will furnish all information and reports required by Executive Order 11246 of September 24, 1965, and by the rules, regulations, and orders of the Secretary of Labor, or pursuant thereto, and will permit access to his </w:t>
      </w:r>
      <w:r w:rsidRPr="000225CB">
        <w:rPr>
          <w:rFonts w:ascii="Aptos" w:eastAsia="Times New Roman" w:hAnsi="Aptos" w:cs="Arial"/>
          <w:color w:val="000000"/>
          <w:sz w:val="20"/>
          <w:szCs w:val="20"/>
        </w:rPr>
        <w:lastRenderedPageBreak/>
        <w:t>books, records, and accounts by the contracting agency and the Secretary of Labor for purposes of investigation to ascertain compliance with such rules, regulations, and orders.</w:t>
      </w:r>
    </w:p>
    <w:p w14:paraId="36D6EE80" w14:textId="77777777" w:rsidR="000225CB" w:rsidRPr="000225CB" w:rsidRDefault="000225CB" w:rsidP="000225CB">
      <w:pPr>
        <w:numPr>
          <w:ilvl w:val="0"/>
          <w:numId w:val="59"/>
        </w:numPr>
        <w:spacing w:after="200" w:line="276" w:lineRule="auto"/>
        <w:contextualSpacing/>
        <w:rPr>
          <w:rFonts w:ascii="Aptos" w:eastAsia="Times New Roman" w:hAnsi="Aptos" w:cs="Arial"/>
          <w:caps/>
          <w:color w:val="000000"/>
          <w:sz w:val="20"/>
          <w:szCs w:val="20"/>
        </w:rPr>
      </w:pPr>
      <w:r w:rsidRPr="000225CB">
        <w:rPr>
          <w:rFonts w:ascii="Aptos" w:eastAsia="Times New Roman" w:hAnsi="Aptos" w:cs="Arial"/>
          <w:color w:val="000000"/>
          <w:sz w:val="20"/>
          <w:szCs w:val="20"/>
        </w:rPr>
        <w:t>In the event of the contractor's non-compliance with the nondiscrimination clauses of this contract or with any of such rules, regulations, or orders, this contract may be canceled, terminated or suspended in whole or in part and the contractor may be declared ineligible for further government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6E887A5E" w14:textId="77777777" w:rsidR="000225CB" w:rsidRPr="000225CB" w:rsidRDefault="000225CB" w:rsidP="000225CB">
      <w:pPr>
        <w:numPr>
          <w:ilvl w:val="0"/>
          <w:numId w:val="59"/>
        </w:numPr>
        <w:spacing w:after="200" w:line="276" w:lineRule="auto"/>
        <w:contextualSpacing/>
        <w:rPr>
          <w:rFonts w:ascii="Aptos" w:eastAsia="Times New Roman" w:hAnsi="Aptos" w:cs="Arial"/>
          <w:caps/>
          <w:color w:val="000000"/>
          <w:sz w:val="20"/>
          <w:szCs w:val="20"/>
        </w:rPr>
      </w:pPr>
      <w:r w:rsidRPr="000225CB">
        <w:rPr>
          <w:rFonts w:ascii="Aptos" w:eastAsia="Times New Roman" w:hAnsi="Aptos" w:cs="Arial"/>
          <w:color w:val="000000"/>
          <w:sz w:val="20"/>
          <w:szCs w:val="20"/>
        </w:rPr>
        <w:t>The contractor will include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may be directed by the Secretary of Labor as a means of enforcing such provisions including sanctions for noncompliance: </w:t>
      </w:r>
      <w:r w:rsidRPr="000225CB">
        <w:rPr>
          <w:rFonts w:ascii="Aptos" w:eastAsia="Times New Roman" w:hAnsi="Aptos" w:cs="Arial"/>
          <w:i/>
          <w:iCs/>
          <w:color w:val="000000"/>
          <w:sz w:val="20"/>
          <w:szCs w:val="20"/>
        </w:rPr>
        <w:t>provided, however,</w:t>
      </w:r>
      <w:r w:rsidRPr="000225CB">
        <w:rPr>
          <w:rFonts w:ascii="Aptos" w:eastAsia="Times New Roman" w:hAnsi="Aptos" w:cs="Arial"/>
          <w:color w:val="000000"/>
          <w:sz w:val="20"/>
          <w:szCs w:val="20"/>
        </w:rPr>
        <w:t> that in the event the contractor becomes involved in, or is threatened with, litigation with a subcontractor or vendor as a result of such direction, the contractor may request the United States to enter into such litigation to protect the interests of the United States</w:t>
      </w:r>
      <w:r w:rsidRPr="000225CB">
        <w:rPr>
          <w:rFonts w:ascii="Aptos" w:eastAsia="Times New Roman" w:hAnsi="Aptos" w:cs="Arial"/>
          <w:caps/>
          <w:color w:val="000000"/>
          <w:sz w:val="20"/>
          <w:szCs w:val="20"/>
        </w:rPr>
        <w:t>.</w:t>
      </w:r>
    </w:p>
    <w:p w14:paraId="04CB4823" w14:textId="77777777" w:rsidR="000225CB" w:rsidRPr="000225CB" w:rsidRDefault="000225CB" w:rsidP="000225CB">
      <w:pPr>
        <w:tabs>
          <w:tab w:val="left" w:pos="9360"/>
        </w:tabs>
        <w:spacing w:line="276" w:lineRule="auto"/>
        <w:ind w:left="0"/>
        <w:rPr>
          <w:rFonts w:ascii="Aptos" w:eastAsia="Times New Roman" w:hAnsi="Aptos" w:cs="Arial"/>
          <w:i/>
          <w:iCs/>
          <w:color w:val="000000"/>
          <w:sz w:val="20"/>
          <w:szCs w:val="20"/>
        </w:rPr>
      </w:pPr>
      <w:r w:rsidRPr="000225CB">
        <w:rPr>
          <w:rFonts w:ascii="Aptos" w:eastAsia="Times New Roman" w:hAnsi="Aptos" w:cs="Arial"/>
          <w:i/>
          <w:iCs/>
          <w:color w:val="000000"/>
          <w:sz w:val="20"/>
          <w:szCs w:val="20"/>
        </w:rPr>
        <w:t>*     *     *     *     *</w:t>
      </w:r>
    </w:p>
    <w:p w14:paraId="059B0E0E" w14:textId="77777777" w:rsidR="000225CB" w:rsidRPr="000225CB" w:rsidRDefault="000225CB" w:rsidP="000225CB">
      <w:pPr>
        <w:numPr>
          <w:ilvl w:val="0"/>
          <w:numId w:val="64"/>
        </w:numPr>
        <w:tabs>
          <w:tab w:val="left" w:pos="9000"/>
          <w:tab w:val="left" w:pos="9360"/>
        </w:tabs>
        <w:spacing w:after="200" w:line="276" w:lineRule="auto"/>
        <w:contextualSpacing/>
        <w:rPr>
          <w:rFonts w:ascii="Aptos" w:eastAsia="Times New Roman" w:hAnsi="Aptos" w:cs="Arial"/>
          <w:i/>
          <w:iCs/>
          <w:color w:val="000000"/>
          <w:sz w:val="20"/>
          <w:szCs w:val="20"/>
        </w:rPr>
      </w:pPr>
      <w:r w:rsidRPr="000225CB">
        <w:rPr>
          <w:rFonts w:ascii="Aptos" w:eastAsia="Times New Roman" w:hAnsi="Aptos" w:cs="Arial"/>
          <w:i/>
          <w:iCs/>
          <w:color w:val="000000"/>
          <w:sz w:val="20"/>
          <w:szCs w:val="20"/>
        </w:rPr>
        <w:t> Subcontracts. Each nonexempt prime contractor or subcontractor shall include the equal opportunity clause in each of its nonexempt subcontracts.</w:t>
      </w:r>
    </w:p>
    <w:p w14:paraId="2876F06D" w14:textId="77777777" w:rsidR="000225CB" w:rsidRPr="000225CB" w:rsidRDefault="000225CB" w:rsidP="000225CB">
      <w:pPr>
        <w:numPr>
          <w:ilvl w:val="0"/>
          <w:numId w:val="64"/>
        </w:numPr>
        <w:tabs>
          <w:tab w:val="left" w:pos="9000"/>
          <w:tab w:val="left" w:pos="9360"/>
        </w:tabs>
        <w:spacing w:after="200" w:line="276" w:lineRule="auto"/>
        <w:contextualSpacing/>
        <w:rPr>
          <w:rFonts w:ascii="Aptos" w:eastAsia="Times New Roman" w:hAnsi="Aptos" w:cs="Arial"/>
          <w:i/>
          <w:iCs/>
          <w:color w:val="000000"/>
          <w:sz w:val="20"/>
          <w:szCs w:val="20"/>
        </w:rPr>
      </w:pPr>
      <w:r w:rsidRPr="000225CB">
        <w:rPr>
          <w:rFonts w:ascii="Aptos" w:eastAsia="Times New Roman" w:hAnsi="Aptos" w:cs="Arial"/>
          <w:i/>
          <w:iCs/>
          <w:color w:val="000000"/>
          <w:sz w:val="20"/>
          <w:szCs w:val="20"/>
        </w:rPr>
        <w:t>Incorporation by reference. The equal opportunity clause may be incorporated by reference in all Government contracts and subcontracts, including Government bills of lading, transportation requests, contracts for deposit of Government funds, and contracts for issuing and paying U.S. savings bonds and notes, and such other contracts and subcontracts as the Deputy Assistant Secretary may designate.</w:t>
      </w:r>
    </w:p>
    <w:p w14:paraId="75F2480E" w14:textId="77777777" w:rsidR="000225CB" w:rsidRPr="000225CB" w:rsidRDefault="000225CB" w:rsidP="000225CB">
      <w:pPr>
        <w:numPr>
          <w:ilvl w:val="0"/>
          <w:numId w:val="64"/>
        </w:numPr>
        <w:tabs>
          <w:tab w:val="left" w:pos="9000"/>
          <w:tab w:val="left" w:pos="9360"/>
        </w:tabs>
        <w:spacing w:after="200" w:line="276" w:lineRule="auto"/>
        <w:contextualSpacing/>
        <w:rPr>
          <w:rFonts w:ascii="Aptos" w:eastAsia="Times New Roman" w:hAnsi="Aptos" w:cs="Arial"/>
          <w:i/>
          <w:iCs/>
          <w:color w:val="000000"/>
          <w:sz w:val="20"/>
          <w:szCs w:val="20"/>
        </w:rPr>
      </w:pPr>
      <w:r w:rsidRPr="000225CB">
        <w:rPr>
          <w:rFonts w:ascii="Aptos" w:eastAsia="Times New Roman" w:hAnsi="Aptos" w:cs="Arial"/>
          <w:i/>
          <w:iCs/>
          <w:color w:val="000000"/>
          <w:sz w:val="20"/>
          <w:szCs w:val="20"/>
        </w:rPr>
        <w:t>Incorporation by operation of the order. By operation of the order, the equal opportunity clause shall be considered to be a part of every contract and subcontract required by the order and the regulations in this part to include such a clause whether or not it is physically incorporated in such contracts and whether or not the contract between the agency and the contractor is written.</w:t>
      </w:r>
    </w:p>
    <w:p w14:paraId="40B40FBC" w14:textId="77777777" w:rsidR="00DB3A5C" w:rsidRDefault="000225CB" w:rsidP="00DB3A5C">
      <w:pPr>
        <w:numPr>
          <w:ilvl w:val="0"/>
          <w:numId w:val="64"/>
        </w:numPr>
        <w:tabs>
          <w:tab w:val="left" w:pos="9000"/>
          <w:tab w:val="left" w:pos="9360"/>
        </w:tabs>
        <w:spacing w:after="200" w:line="276" w:lineRule="auto"/>
        <w:contextualSpacing/>
        <w:rPr>
          <w:rFonts w:ascii="Aptos" w:eastAsia="Times New Roman" w:hAnsi="Aptos" w:cs="Arial"/>
          <w:i/>
          <w:iCs/>
          <w:color w:val="000000"/>
          <w:sz w:val="20"/>
          <w:szCs w:val="20"/>
        </w:rPr>
      </w:pPr>
      <w:r w:rsidRPr="000225CB">
        <w:rPr>
          <w:rFonts w:ascii="Aptos" w:eastAsia="Times New Roman" w:hAnsi="Aptos" w:cs="Arial"/>
          <w:i/>
          <w:iCs/>
          <w:color w:val="000000"/>
          <w:sz w:val="20"/>
          <w:szCs w:val="20"/>
        </w:rPr>
        <w:t xml:space="preserve">Adaptation of language. Such necessary changes in language may be made in the equal opportunity clause as </w:t>
      </w:r>
      <w:proofErr w:type="gramStart"/>
      <w:r w:rsidRPr="000225CB">
        <w:rPr>
          <w:rFonts w:ascii="Aptos" w:eastAsia="Times New Roman" w:hAnsi="Aptos" w:cs="Arial"/>
          <w:i/>
          <w:iCs/>
          <w:color w:val="000000"/>
          <w:sz w:val="20"/>
          <w:szCs w:val="20"/>
        </w:rPr>
        <w:t>shall</w:t>
      </w:r>
      <w:proofErr w:type="gramEnd"/>
      <w:r w:rsidRPr="000225CB">
        <w:rPr>
          <w:rFonts w:ascii="Aptos" w:eastAsia="Times New Roman" w:hAnsi="Aptos" w:cs="Arial"/>
          <w:i/>
          <w:iCs/>
          <w:color w:val="000000"/>
          <w:sz w:val="20"/>
          <w:szCs w:val="20"/>
        </w:rPr>
        <w:t xml:space="preserve"> be appropriate to identify properly the parties and their undertakings.</w:t>
      </w:r>
    </w:p>
    <w:p w14:paraId="6CF8F774" w14:textId="77777777" w:rsidR="0094196D" w:rsidRDefault="0094196D" w:rsidP="00DB3A5C">
      <w:pPr>
        <w:tabs>
          <w:tab w:val="left" w:pos="9000"/>
          <w:tab w:val="left" w:pos="9360"/>
        </w:tabs>
        <w:spacing w:after="200" w:line="276" w:lineRule="auto"/>
        <w:ind w:left="0"/>
        <w:contextualSpacing/>
        <w:rPr>
          <w:rFonts w:ascii="Aptos" w:eastAsia="Times New Roman" w:hAnsi="Aptos" w:cs="Arial"/>
          <w:i/>
          <w:iCs/>
          <w:color w:val="000000"/>
          <w:sz w:val="20"/>
          <w:szCs w:val="20"/>
        </w:rPr>
      </w:pPr>
    </w:p>
    <w:p w14:paraId="60561E13" w14:textId="3DC5EBEF" w:rsidR="000225CB" w:rsidRPr="00DB3A5C" w:rsidRDefault="000225CB" w:rsidP="00DB3A5C">
      <w:pPr>
        <w:tabs>
          <w:tab w:val="left" w:pos="9000"/>
          <w:tab w:val="left" w:pos="9360"/>
        </w:tabs>
        <w:spacing w:after="200" w:line="276" w:lineRule="auto"/>
        <w:ind w:left="0"/>
        <w:contextualSpacing/>
        <w:rPr>
          <w:rFonts w:ascii="Aptos" w:eastAsia="Times New Roman" w:hAnsi="Aptos" w:cs="Arial"/>
          <w:i/>
          <w:iCs/>
          <w:color w:val="000000"/>
          <w:sz w:val="20"/>
          <w:szCs w:val="20"/>
        </w:rPr>
      </w:pPr>
      <w:r w:rsidRPr="00DB3A5C">
        <w:rPr>
          <w:rFonts w:ascii="Aptos" w:eastAsia="Times New Roman" w:hAnsi="Aptos" w:cs="Calibri"/>
          <w:b/>
          <w:bCs/>
          <w:color w:val="auto"/>
          <w:sz w:val="20"/>
          <w:szCs w:val="20"/>
        </w:rPr>
        <w:t>2 CFR Part 200 Appendix II (C)</w:t>
      </w:r>
    </w:p>
    <w:p w14:paraId="62CC9944" w14:textId="77777777" w:rsidR="000225CB" w:rsidRPr="000225CB" w:rsidRDefault="000225CB" w:rsidP="000225CB">
      <w:pPr>
        <w:numPr>
          <w:ilvl w:val="0"/>
          <w:numId w:val="60"/>
        </w:numPr>
        <w:spacing w:after="200" w:line="276" w:lineRule="auto"/>
        <w:ind w:hanging="630"/>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5E20A1CA" w14:textId="77777777" w:rsidR="000225CB" w:rsidRPr="000225CB" w:rsidRDefault="000225CB" w:rsidP="000225CB">
      <w:pPr>
        <w:spacing w:after="200" w:line="276" w:lineRule="auto"/>
        <w:ind w:left="720"/>
        <w:contextualSpacing/>
        <w:rPr>
          <w:rFonts w:ascii="Aptos" w:eastAsia="Times New Roman" w:hAnsi="Aptos" w:cs="Arial"/>
          <w:color w:val="000000"/>
          <w:sz w:val="20"/>
          <w:szCs w:val="20"/>
        </w:rPr>
      </w:pPr>
    </w:p>
    <w:p w14:paraId="24EBA54A" w14:textId="77777777" w:rsidR="000225CB" w:rsidRPr="000225CB" w:rsidRDefault="000225CB" w:rsidP="000225CB">
      <w:pPr>
        <w:tabs>
          <w:tab w:val="right" w:pos="9360"/>
        </w:tabs>
        <w:spacing w:after="200" w:line="276" w:lineRule="auto"/>
        <w:ind w:left="0"/>
        <w:rPr>
          <w:rFonts w:ascii="Aptos" w:eastAsia="Times New Roman" w:hAnsi="Aptos" w:cs="Calibri"/>
          <w:b/>
          <w:bCs/>
          <w:color w:val="000000"/>
          <w:sz w:val="20"/>
          <w:szCs w:val="20"/>
        </w:rPr>
      </w:pPr>
      <w:r w:rsidRPr="000225CB">
        <w:rPr>
          <w:rFonts w:ascii="Aptos" w:eastAsia="Times New Roman" w:hAnsi="Aptos" w:cs="Calibri"/>
          <w:b/>
          <w:bCs/>
          <w:caps/>
          <w:color w:val="auto"/>
          <w:sz w:val="22"/>
          <w:szCs w:val="22"/>
        </w:rPr>
        <w:t xml:space="preserve">USDOT Disadvantaged Business Enterprise Program Requirements </w:t>
      </w:r>
      <w:r w:rsidRPr="000225CB">
        <w:rPr>
          <w:rFonts w:ascii="Aptos" w:eastAsia="Times New Roman" w:hAnsi="Aptos" w:cs="Calibri"/>
          <w:b/>
          <w:bCs/>
          <w:color w:val="000000"/>
          <w:sz w:val="20"/>
          <w:szCs w:val="20"/>
        </w:rPr>
        <w:tab/>
      </w:r>
      <w:r w:rsidRPr="000225CB">
        <w:rPr>
          <w:rFonts w:ascii="Aptos" w:eastAsia="Times New Roman" w:hAnsi="Aptos" w:cs="Calibri"/>
          <w:color w:val="000000"/>
          <w:sz w:val="18"/>
          <w:szCs w:val="18"/>
        </w:rPr>
        <w:t>49 CFR 26</w:t>
      </w:r>
    </w:p>
    <w:p w14:paraId="7F30D8BA" w14:textId="77777777" w:rsidR="000225CB" w:rsidRPr="000225CB" w:rsidRDefault="000225CB" w:rsidP="000225CB">
      <w:pPr>
        <w:numPr>
          <w:ilvl w:val="0"/>
          <w:numId w:val="61"/>
        </w:numPr>
        <w:spacing w:after="200" w:line="276" w:lineRule="auto"/>
        <w:ind w:left="360"/>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 xml:space="preserve">Each financial assistance agreement you sign with </w:t>
      </w:r>
      <w:proofErr w:type="gramStart"/>
      <w:r w:rsidRPr="000225CB">
        <w:rPr>
          <w:rFonts w:ascii="Aptos" w:eastAsia="Times New Roman" w:hAnsi="Aptos" w:cs="Arial"/>
          <w:color w:val="000000"/>
          <w:sz w:val="20"/>
          <w:szCs w:val="20"/>
        </w:rPr>
        <w:t>a DOT</w:t>
      </w:r>
      <w:proofErr w:type="gramEnd"/>
      <w:r w:rsidRPr="000225CB">
        <w:rPr>
          <w:rFonts w:ascii="Aptos" w:eastAsia="Times New Roman" w:hAnsi="Aptos" w:cs="Arial"/>
          <w:color w:val="000000"/>
          <w:sz w:val="20"/>
          <w:szCs w:val="20"/>
        </w:rPr>
        <w:t xml:space="preserve"> operating administration (or a primary recipient) must include the following assurance:</w:t>
      </w:r>
    </w:p>
    <w:p w14:paraId="0FF75767" w14:textId="77777777" w:rsidR="000225CB" w:rsidRPr="000225CB" w:rsidRDefault="000225CB" w:rsidP="000225CB">
      <w:pPr>
        <w:spacing w:before="100" w:beforeAutospacing="1" w:after="100" w:afterAutospacing="1"/>
        <w:ind w:left="360"/>
        <w:rPr>
          <w:rFonts w:ascii="Aptos" w:eastAsia="Times New Roman" w:hAnsi="Aptos" w:cs="Arial"/>
          <w:color w:val="000000"/>
          <w:sz w:val="20"/>
          <w:szCs w:val="20"/>
        </w:rPr>
      </w:pPr>
      <w:r w:rsidRPr="000225CB">
        <w:rPr>
          <w:rFonts w:ascii="Aptos" w:eastAsia="Times New Roman" w:hAnsi="Aptos" w:cs="Arial"/>
          <w:color w:val="000000"/>
          <w:sz w:val="20"/>
          <w:szCs w:val="20"/>
        </w:rPr>
        <w:t xml:space="preserve">The recipient shall take all necessary and reasonable steps under 49 CFR Part 26 to ensure nondiscrimination in the award and administration of DOT-assisted contracts. The recipient's DBE program, as required by 49 CFR Part 26 and as approved by DOT, is incorporated by reference in this agreement. Implementation of this program is a legal obligation, and failure to carry out its terms shall be treated as a violation of this agreement. Upon notification to the recipient of its failure to carry out its approved program, the Department may impose sanctions as provided for under Part 26 and may, in </w:t>
      </w:r>
      <w:r w:rsidRPr="000225CB">
        <w:rPr>
          <w:rFonts w:ascii="Aptos" w:eastAsia="Times New Roman" w:hAnsi="Aptos" w:cs="Arial"/>
          <w:color w:val="000000"/>
          <w:sz w:val="20"/>
          <w:szCs w:val="20"/>
        </w:rPr>
        <w:lastRenderedPageBreak/>
        <w:t>appropriate cases, refer the matter for enforcement under 18 U.S.C. 1001 and/or the Program Fraud Civil Remedies Act of 1986 (31 U.S.C. 3801 et seq.).</w:t>
      </w:r>
    </w:p>
    <w:p w14:paraId="1EE0B966" w14:textId="77777777" w:rsidR="000225CB" w:rsidRPr="000225CB" w:rsidRDefault="000225CB" w:rsidP="000225CB">
      <w:pPr>
        <w:numPr>
          <w:ilvl w:val="0"/>
          <w:numId w:val="61"/>
        </w:numPr>
        <w:spacing w:before="100" w:beforeAutospacing="1" w:after="100" w:afterAutospacing="1" w:line="276" w:lineRule="auto"/>
        <w:ind w:left="360"/>
        <w:rPr>
          <w:rFonts w:ascii="Aptos" w:eastAsia="Times New Roman" w:hAnsi="Aptos" w:cs="Times New Roman"/>
          <w:color w:val="auto"/>
          <w:sz w:val="20"/>
          <w:szCs w:val="20"/>
        </w:rPr>
      </w:pPr>
      <w:r w:rsidRPr="000225CB">
        <w:rPr>
          <w:rFonts w:ascii="Aptos" w:eastAsia="Times New Roman" w:hAnsi="Aptos" w:cs="Times New Roman"/>
          <w:color w:val="auto"/>
          <w:sz w:val="20"/>
          <w:szCs w:val="20"/>
        </w:rPr>
        <w:t>Each contract you sign with a contractor (and each subcontract the prime contractor signs with a subcontractor) must include the following assurance:</w:t>
      </w:r>
    </w:p>
    <w:p w14:paraId="2E3553A0" w14:textId="77777777" w:rsidR="000225CB" w:rsidRPr="000225CB" w:rsidRDefault="000225CB" w:rsidP="000225CB">
      <w:pPr>
        <w:spacing w:before="100" w:beforeAutospacing="1" w:after="100" w:afterAutospacing="1"/>
        <w:ind w:left="360"/>
        <w:rPr>
          <w:rFonts w:ascii="Aptos" w:eastAsia="Times New Roman" w:hAnsi="Aptos" w:cs="Arial"/>
          <w:color w:val="000000"/>
          <w:sz w:val="20"/>
          <w:szCs w:val="20"/>
        </w:rPr>
      </w:pPr>
      <w:r w:rsidRPr="000225CB">
        <w:rPr>
          <w:rFonts w:ascii="Aptos" w:eastAsia="Times New Roman" w:hAnsi="Aptos" w:cs="Arial"/>
          <w:color w:val="000000"/>
          <w:sz w:val="20"/>
          <w:szCs w:val="20"/>
        </w:rPr>
        <w:t>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recipient deems appropriate.</w:t>
      </w:r>
    </w:p>
    <w:p w14:paraId="4ED5E53C" w14:textId="77777777" w:rsidR="000225CB" w:rsidRPr="000225CB" w:rsidRDefault="000225CB" w:rsidP="000225CB">
      <w:pPr>
        <w:tabs>
          <w:tab w:val="right" w:pos="9360"/>
        </w:tabs>
        <w:spacing w:after="200" w:line="276" w:lineRule="auto"/>
        <w:ind w:left="0"/>
        <w:rPr>
          <w:rFonts w:ascii="Aptos" w:eastAsia="Times New Roman" w:hAnsi="Aptos" w:cs="Calibri"/>
          <w:color w:val="000000"/>
          <w:sz w:val="20"/>
          <w:szCs w:val="20"/>
        </w:rPr>
      </w:pPr>
      <w:r w:rsidRPr="000225CB">
        <w:rPr>
          <w:rFonts w:ascii="Aptos" w:eastAsia="Times New Roman" w:hAnsi="Aptos" w:cs="Calibri"/>
          <w:b/>
          <w:bCs/>
          <w:caps/>
          <w:color w:val="auto"/>
          <w:sz w:val="22"/>
          <w:szCs w:val="22"/>
        </w:rPr>
        <w:t>Sanctions and Penalties for Breach of Contract</w:t>
      </w:r>
      <w:r w:rsidRPr="000225CB">
        <w:rPr>
          <w:rFonts w:ascii="Aptos" w:eastAsia="Times New Roman" w:hAnsi="Aptos" w:cs="Calibri"/>
          <w:b/>
          <w:bCs/>
          <w:caps/>
          <w:color w:val="auto"/>
          <w:sz w:val="22"/>
          <w:szCs w:val="22"/>
        </w:rPr>
        <w:tab/>
      </w:r>
      <w:r w:rsidRPr="000225CB">
        <w:rPr>
          <w:rFonts w:ascii="Aptos" w:eastAsia="Times New Roman" w:hAnsi="Aptos" w:cs="Calibri"/>
          <w:color w:val="000000"/>
          <w:sz w:val="18"/>
          <w:szCs w:val="18"/>
        </w:rPr>
        <w:t>2 CFR Part 200 Appendix II (A)</w:t>
      </w:r>
    </w:p>
    <w:p w14:paraId="7EC80CE7" w14:textId="77777777" w:rsidR="000225CB" w:rsidRDefault="000225CB" w:rsidP="000225CB">
      <w:pPr>
        <w:numPr>
          <w:ilvl w:val="0"/>
          <w:numId w:val="62"/>
        </w:numPr>
        <w:spacing w:after="200" w:line="276" w:lineRule="auto"/>
        <w:ind w:left="360"/>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 xml:space="preserve"> Contracts for more than the simplified acquisition threshold currently set at $150,000,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29BA303E" w14:textId="77777777" w:rsidR="0094196D" w:rsidRPr="000225CB" w:rsidRDefault="0094196D" w:rsidP="0094196D">
      <w:pPr>
        <w:spacing w:after="200" w:line="276" w:lineRule="auto"/>
        <w:ind w:left="360"/>
        <w:contextualSpacing/>
        <w:rPr>
          <w:rFonts w:ascii="Aptos" w:eastAsia="Times New Roman" w:hAnsi="Aptos" w:cs="Arial"/>
          <w:color w:val="000000"/>
          <w:sz w:val="20"/>
          <w:szCs w:val="20"/>
        </w:rPr>
      </w:pPr>
    </w:p>
    <w:p w14:paraId="5BA3FF84" w14:textId="77777777" w:rsidR="000225CB" w:rsidRPr="000225CB" w:rsidRDefault="000225CB" w:rsidP="000225CB">
      <w:pPr>
        <w:tabs>
          <w:tab w:val="right" w:pos="9360"/>
        </w:tabs>
        <w:spacing w:after="200" w:line="276" w:lineRule="auto"/>
        <w:ind w:left="0"/>
        <w:rPr>
          <w:rFonts w:ascii="Aptos" w:eastAsia="Times New Roman" w:hAnsi="Aptos" w:cs="Calibri"/>
          <w:b/>
          <w:bCs/>
          <w:caps/>
          <w:color w:val="auto"/>
          <w:sz w:val="22"/>
          <w:szCs w:val="22"/>
        </w:rPr>
      </w:pPr>
      <w:r w:rsidRPr="000225CB">
        <w:rPr>
          <w:rFonts w:ascii="Aptos" w:eastAsia="Times New Roman" w:hAnsi="Aptos" w:cs="Calibri"/>
          <w:b/>
          <w:bCs/>
          <w:caps/>
          <w:color w:val="auto"/>
          <w:sz w:val="22"/>
          <w:szCs w:val="22"/>
        </w:rPr>
        <w:t>Termination for Cause and Convenience – 2 CFR Part 200 Appendix II (B)</w:t>
      </w:r>
    </w:p>
    <w:p w14:paraId="3D8E3FB3" w14:textId="77777777" w:rsidR="000225CB" w:rsidRDefault="000225CB" w:rsidP="000225CB">
      <w:pPr>
        <w:numPr>
          <w:ilvl w:val="0"/>
          <w:numId w:val="62"/>
        </w:numPr>
        <w:spacing w:after="200" w:line="276" w:lineRule="auto"/>
        <w:ind w:left="360"/>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 xml:space="preserve"> All contracts </w:t>
      </w:r>
      <w:proofErr w:type="gramStart"/>
      <w:r w:rsidRPr="000225CB">
        <w:rPr>
          <w:rFonts w:ascii="Aptos" w:eastAsia="Times New Roman" w:hAnsi="Aptos" w:cs="Arial"/>
          <w:color w:val="000000"/>
          <w:sz w:val="20"/>
          <w:szCs w:val="20"/>
        </w:rPr>
        <w:t>in excess of</w:t>
      </w:r>
      <w:proofErr w:type="gramEnd"/>
      <w:r w:rsidRPr="000225CB">
        <w:rPr>
          <w:rFonts w:ascii="Aptos" w:eastAsia="Times New Roman" w:hAnsi="Aptos" w:cs="Arial"/>
          <w:color w:val="000000"/>
          <w:sz w:val="20"/>
          <w:szCs w:val="20"/>
        </w:rPr>
        <w:t xml:space="preserve"> $10,000 must address termination for cause and for convenience by the non-Federal entity including </w:t>
      </w:r>
      <w:proofErr w:type="gramStart"/>
      <w:r w:rsidRPr="000225CB">
        <w:rPr>
          <w:rFonts w:ascii="Aptos" w:eastAsia="Times New Roman" w:hAnsi="Aptos" w:cs="Arial"/>
          <w:color w:val="000000"/>
          <w:sz w:val="20"/>
          <w:szCs w:val="20"/>
        </w:rPr>
        <w:t>the manner by which</w:t>
      </w:r>
      <w:proofErr w:type="gramEnd"/>
      <w:r w:rsidRPr="000225CB">
        <w:rPr>
          <w:rFonts w:ascii="Aptos" w:eastAsia="Times New Roman" w:hAnsi="Aptos" w:cs="Arial"/>
          <w:color w:val="000000"/>
          <w:sz w:val="20"/>
          <w:szCs w:val="20"/>
        </w:rPr>
        <w:t xml:space="preserve"> it will be </w:t>
      </w:r>
      <w:proofErr w:type="gramStart"/>
      <w:r w:rsidRPr="000225CB">
        <w:rPr>
          <w:rFonts w:ascii="Aptos" w:eastAsia="Times New Roman" w:hAnsi="Aptos" w:cs="Arial"/>
          <w:color w:val="000000"/>
          <w:sz w:val="20"/>
          <w:szCs w:val="20"/>
        </w:rPr>
        <w:t>effected</w:t>
      </w:r>
      <w:proofErr w:type="gramEnd"/>
      <w:r w:rsidRPr="000225CB">
        <w:rPr>
          <w:rFonts w:ascii="Aptos" w:eastAsia="Times New Roman" w:hAnsi="Aptos" w:cs="Arial"/>
          <w:color w:val="000000"/>
          <w:sz w:val="20"/>
          <w:szCs w:val="20"/>
        </w:rPr>
        <w:t xml:space="preserve"> and the basis for settlement.</w:t>
      </w:r>
    </w:p>
    <w:p w14:paraId="446B21F7" w14:textId="77777777" w:rsidR="0094196D" w:rsidRPr="000225CB" w:rsidRDefault="0094196D" w:rsidP="0094196D">
      <w:pPr>
        <w:spacing w:after="200" w:line="276" w:lineRule="auto"/>
        <w:ind w:left="360"/>
        <w:contextualSpacing/>
        <w:rPr>
          <w:rFonts w:ascii="Aptos" w:eastAsia="Times New Roman" w:hAnsi="Aptos" w:cs="Arial"/>
          <w:color w:val="000000"/>
          <w:sz w:val="20"/>
          <w:szCs w:val="20"/>
        </w:rPr>
      </w:pPr>
    </w:p>
    <w:p w14:paraId="152E7A37" w14:textId="77777777" w:rsidR="000225CB" w:rsidRPr="000225CB" w:rsidRDefault="000225CB" w:rsidP="000225CB">
      <w:pPr>
        <w:tabs>
          <w:tab w:val="right" w:pos="9360"/>
        </w:tabs>
        <w:spacing w:after="200" w:line="276" w:lineRule="auto"/>
        <w:ind w:left="0"/>
        <w:rPr>
          <w:rFonts w:ascii="Aptos" w:eastAsia="Times New Roman" w:hAnsi="Aptos" w:cs="Calibri"/>
          <w:color w:val="auto"/>
          <w:sz w:val="20"/>
          <w:szCs w:val="20"/>
        </w:rPr>
      </w:pPr>
      <w:r w:rsidRPr="000225CB">
        <w:rPr>
          <w:rFonts w:ascii="Aptos" w:eastAsia="Times New Roman" w:hAnsi="Aptos" w:cs="Calibri"/>
          <w:b/>
          <w:bCs/>
          <w:caps/>
          <w:color w:val="auto"/>
          <w:sz w:val="22"/>
          <w:szCs w:val="22"/>
        </w:rPr>
        <w:t>Rights to Inventions Made Under a Contract or Agreement</w:t>
      </w:r>
      <w:bookmarkStart w:id="26" w:name="_Hlk57916090"/>
      <w:r w:rsidRPr="000225CB">
        <w:rPr>
          <w:rFonts w:ascii="Aptos" w:eastAsia="Times New Roman" w:hAnsi="Aptos" w:cs="Calibri"/>
          <w:b/>
          <w:bCs/>
          <w:caps/>
          <w:color w:val="auto"/>
          <w:sz w:val="22"/>
          <w:szCs w:val="22"/>
        </w:rPr>
        <w:tab/>
      </w:r>
      <w:r w:rsidRPr="000225CB">
        <w:rPr>
          <w:rFonts w:ascii="Aptos" w:eastAsia="Times New Roman" w:hAnsi="Aptos" w:cs="Calibri"/>
          <w:color w:val="auto"/>
          <w:sz w:val="18"/>
          <w:szCs w:val="18"/>
        </w:rPr>
        <w:t>CFR Part 200 Appendix II (F)</w:t>
      </w:r>
      <w:bookmarkEnd w:id="26"/>
    </w:p>
    <w:p w14:paraId="33134EB2" w14:textId="77777777" w:rsidR="000225CB" w:rsidRPr="000225CB" w:rsidRDefault="000225CB" w:rsidP="000225CB">
      <w:pPr>
        <w:tabs>
          <w:tab w:val="left" w:pos="540"/>
          <w:tab w:val="left" w:pos="1440"/>
        </w:tabs>
        <w:spacing w:after="200" w:line="276" w:lineRule="auto"/>
        <w:ind w:left="540" w:hanging="540"/>
        <w:rPr>
          <w:rFonts w:ascii="Aptos" w:eastAsia="Times New Roman" w:hAnsi="Aptos" w:cs="Calibri"/>
          <w:color w:val="000000"/>
          <w:sz w:val="20"/>
          <w:szCs w:val="20"/>
        </w:rPr>
      </w:pPr>
      <w:r w:rsidRPr="000225CB">
        <w:rPr>
          <w:rFonts w:ascii="Aptos" w:eastAsia="Times New Roman" w:hAnsi="Aptos" w:cs="Calibri"/>
          <w:color w:val="000000"/>
          <w:sz w:val="20"/>
          <w:szCs w:val="20"/>
        </w:rPr>
        <w:t>(F)</w:t>
      </w:r>
      <w:r w:rsidRPr="000225CB">
        <w:rPr>
          <w:rFonts w:ascii="Aptos" w:eastAsia="Times New Roman" w:hAnsi="Aptos" w:cs="Calibri"/>
          <w:color w:val="000000"/>
          <w:sz w:val="20"/>
          <w:szCs w:val="20"/>
        </w:rPr>
        <w:tab/>
      </w:r>
      <w:r w:rsidRPr="000225CB">
        <w:rPr>
          <w:rFonts w:ascii="Aptos" w:eastAsia="Times New Roman" w:hAnsi="Aptos" w:cs="Arial"/>
          <w:color w:val="000000"/>
          <w:sz w:val="20"/>
          <w:szCs w:val="20"/>
        </w:rPr>
        <w:t>Rights to Inventions Made Under a Contract or Agreement. If the Federal award meets the definition of “funding agreement” under 37 CFR §</w:t>
      </w:r>
      <w:r w:rsidRPr="000225CB">
        <w:rPr>
          <w:rFonts w:ascii="Arial" w:eastAsia="Times New Roman" w:hAnsi="Arial" w:cs="Arial"/>
          <w:color w:val="000000"/>
          <w:sz w:val="20"/>
          <w:szCs w:val="20"/>
        </w:rPr>
        <w:t> </w:t>
      </w:r>
      <w:r w:rsidRPr="000225CB">
        <w:rPr>
          <w:rFonts w:ascii="Aptos" w:eastAsia="Times New Roman" w:hAnsi="Aptos" w:cs="Arial"/>
          <w:color w:val="000000"/>
          <w:sz w:val="20"/>
          <w:szCs w:val="20"/>
        </w:rPr>
        <w:t xml:space="preserve">401.2 (a) and the recipient or subrecipient wishes to enter into a contract with a small business firm or nonprofit organization regarding the substitution of parties, assignment or performance of experimental, developmental, or research work under that </w:t>
      </w:r>
      <w:r w:rsidRPr="000225CB">
        <w:rPr>
          <w:rFonts w:ascii="Aptos" w:eastAsia="Times New Roman" w:hAnsi="Aptos" w:cs="Aptos"/>
          <w:color w:val="000000"/>
          <w:sz w:val="20"/>
          <w:szCs w:val="20"/>
        </w:rPr>
        <w:t>“</w:t>
      </w:r>
      <w:r w:rsidRPr="000225CB">
        <w:rPr>
          <w:rFonts w:ascii="Aptos" w:eastAsia="Times New Roman" w:hAnsi="Aptos" w:cs="Arial"/>
          <w:color w:val="000000"/>
          <w:sz w:val="20"/>
          <w:szCs w:val="20"/>
        </w:rPr>
        <w:t>funding agreement,</w:t>
      </w:r>
      <w:r w:rsidRPr="000225CB">
        <w:rPr>
          <w:rFonts w:ascii="Aptos" w:eastAsia="Times New Roman" w:hAnsi="Aptos" w:cs="Aptos"/>
          <w:color w:val="000000"/>
          <w:sz w:val="20"/>
          <w:szCs w:val="20"/>
        </w:rPr>
        <w:t>”</w:t>
      </w:r>
      <w:r w:rsidRPr="000225CB">
        <w:rPr>
          <w:rFonts w:ascii="Aptos" w:eastAsia="Times New Roman" w:hAnsi="Aptos" w:cs="Arial"/>
          <w:color w:val="000000"/>
          <w:sz w:val="20"/>
          <w:szCs w:val="20"/>
        </w:rPr>
        <w:t xml:space="preserve"> the recipient or subrecipient must comply with the requirements of 37 CFR Part 401, </w:t>
      </w:r>
      <w:r w:rsidRPr="000225CB">
        <w:rPr>
          <w:rFonts w:ascii="Aptos" w:eastAsia="Times New Roman" w:hAnsi="Aptos" w:cs="Aptos"/>
          <w:color w:val="000000"/>
          <w:sz w:val="20"/>
          <w:szCs w:val="20"/>
        </w:rPr>
        <w:t>“</w:t>
      </w:r>
      <w:r w:rsidRPr="000225CB">
        <w:rPr>
          <w:rFonts w:ascii="Aptos" w:eastAsia="Times New Roman" w:hAnsi="Aptos" w:cs="Arial"/>
          <w:color w:val="000000"/>
          <w:sz w:val="20"/>
          <w:szCs w:val="20"/>
        </w:rPr>
        <w:t>Rights to Inventions Made by Nonprofit Organizations and Small Business Firms Under Government Grants, Contracts and Cooperative Agreements,” and any implementing regulations issued by the awarding agency.</w:t>
      </w:r>
    </w:p>
    <w:p w14:paraId="06BEDDC8" w14:textId="77777777" w:rsidR="000225CB" w:rsidRPr="000225CB" w:rsidRDefault="000225CB" w:rsidP="000225CB">
      <w:pPr>
        <w:tabs>
          <w:tab w:val="right" w:pos="9360"/>
        </w:tabs>
        <w:spacing w:after="200" w:line="276" w:lineRule="auto"/>
        <w:ind w:left="270" w:hanging="270"/>
        <w:rPr>
          <w:rFonts w:ascii="Aptos" w:eastAsia="Times New Roman" w:hAnsi="Aptos" w:cs="Calibri"/>
          <w:color w:val="auto"/>
          <w:sz w:val="20"/>
          <w:szCs w:val="20"/>
        </w:rPr>
      </w:pPr>
      <w:r w:rsidRPr="000225CB">
        <w:rPr>
          <w:rFonts w:ascii="Aptos" w:eastAsia="Times New Roman" w:hAnsi="Aptos" w:cs="Calibri"/>
          <w:b/>
          <w:bCs/>
          <w:caps/>
          <w:color w:val="auto"/>
          <w:sz w:val="22"/>
          <w:szCs w:val="22"/>
        </w:rPr>
        <w:t xml:space="preserve">Debarment and Suspension </w:t>
      </w:r>
      <w:r w:rsidRPr="000225CB">
        <w:rPr>
          <w:rFonts w:ascii="Aptos" w:eastAsia="Times New Roman" w:hAnsi="Aptos" w:cs="Calibri"/>
          <w:color w:val="auto"/>
          <w:sz w:val="20"/>
          <w:szCs w:val="20"/>
        </w:rPr>
        <w:tab/>
      </w:r>
      <w:r w:rsidRPr="000225CB">
        <w:rPr>
          <w:rFonts w:ascii="Aptos" w:eastAsia="Times New Roman" w:hAnsi="Aptos" w:cs="Calibri"/>
          <w:color w:val="auto"/>
          <w:sz w:val="18"/>
          <w:szCs w:val="18"/>
        </w:rPr>
        <w:t>2 CFR Part 200 Appendix II (I)</w:t>
      </w:r>
    </w:p>
    <w:p w14:paraId="634EF056" w14:textId="77777777" w:rsidR="000225CB" w:rsidRPr="000225CB" w:rsidRDefault="000225CB" w:rsidP="000225CB">
      <w:pPr>
        <w:numPr>
          <w:ilvl w:val="0"/>
          <w:numId w:val="63"/>
        </w:numPr>
        <w:spacing w:after="200" w:line="276" w:lineRule="auto"/>
        <w:contextualSpacing/>
        <w:rPr>
          <w:rFonts w:ascii="Aptos" w:eastAsia="Times New Roman" w:hAnsi="Aptos" w:cs="Arial"/>
          <w:color w:val="000000"/>
          <w:sz w:val="20"/>
          <w:szCs w:val="20"/>
        </w:rPr>
      </w:pPr>
      <w:r w:rsidRPr="000225CB">
        <w:rPr>
          <w:rFonts w:ascii="Aptos" w:eastAsia="Times New Roman" w:hAnsi="Aptos" w:cs="Arial"/>
          <w:color w:val="000000"/>
          <w:sz w:val="20"/>
          <w:szCs w:val="20"/>
        </w:rPr>
        <w:t>Debarment and Suspension (Executive Orders 12549 and 12689)—A contract award (see 2 CFR 180.220) must not be made to parties listed on the governmentwide Excluded Parties List System in the System for Award Management (SAM), in accordance with the OMB guidelines at 2 CFR 180 that implement Executive Orders 12549 (3 CFR Part 1986 Comp., p. 189) and 12689 (3 CFR Part 1989 Comp., p. 235), “Debarment and Suspension.” The Excluded Parties List System in SAM contains the names of parties debarred, suspended, or otherwise excluded by agencies, as well as parties declared ineligible under statutory or regulatory authority other than Executive Order 12549.</w:t>
      </w:r>
    </w:p>
    <w:p w14:paraId="6666F34C" w14:textId="77777777" w:rsidR="000225CB" w:rsidRPr="000225CB" w:rsidRDefault="000225CB" w:rsidP="000225CB">
      <w:pPr>
        <w:tabs>
          <w:tab w:val="right" w:pos="9360"/>
        </w:tabs>
        <w:spacing w:after="200" w:line="276" w:lineRule="auto"/>
        <w:ind w:left="270" w:hanging="270"/>
        <w:rPr>
          <w:rFonts w:ascii="Aptos" w:eastAsia="Times New Roman" w:hAnsi="Aptos" w:cs="Calibri"/>
          <w:b/>
          <w:bCs/>
          <w:caps/>
          <w:color w:val="auto"/>
          <w:sz w:val="22"/>
          <w:szCs w:val="22"/>
        </w:rPr>
      </w:pPr>
    </w:p>
    <w:p w14:paraId="1690A592" w14:textId="77777777" w:rsidR="000225CB" w:rsidRPr="000225CB" w:rsidRDefault="000225CB" w:rsidP="000225CB">
      <w:pPr>
        <w:tabs>
          <w:tab w:val="right" w:pos="9360"/>
        </w:tabs>
        <w:spacing w:after="200" w:line="276" w:lineRule="auto"/>
        <w:ind w:left="270" w:hanging="270"/>
        <w:rPr>
          <w:rFonts w:ascii="Aptos" w:eastAsia="Times New Roman" w:hAnsi="Aptos" w:cs="Calibri"/>
          <w:color w:val="auto"/>
          <w:sz w:val="18"/>
          <w:szCs w:val="18"/>
        </w:rPr>
      </w:pPr>
      <w:r w:rsidRPr="000225CB">
        <w:rPr>
          <w:rFonts w:ascii="Aptos" w:eastAsia="Times New Roman" w:hAnsi="Aptos" w:cs="Calibri"/>
          <w:b/>
          <w:bCs/>
          <w:caps/>
          <w:color w:val="auto"/>
          <w:sz w:val="22"/>
          <w:szCs w:val="22"/>
        </w:rPr>
        <w:t>Byrd Anti-Lobbying Amendment</w:t>
      </w:r>
      <w:r w:rsidRPr="000225CB">
        <w:rPr>
          <w:rFonts w:ascii="Calibri" w:eastAsia="Times New Roman" w:hAnsi="Calibri" w:cs="Calibri"/>
          <w:color w:val="auto"/>
          <w:sz w:val="22"/>
          <w:szCs w:val="22"/>
        </w:rPr>
        <w:t xml:space="preserve"> -</w:t>
      </w:r>
      <w:r w:rsidRPr="000225CB">
        <w:rPr>
          <w:rFonts w:ascii="Calibri" w:eastAsia="Times New Roman" w:hAnsi="Calibri" w:cs="Calibri"/>
          <w:color w:val="auto"/>
          <w:sz w:val="22"/>
          <w:szCs w:val="22"/>
        </w:rPr>
        <w:tab/>
      </w:r>
      <w:r w:rsidRPr="000225CB">
        <w:rPr>
          <w:rFonts w:ascii="Aptos" w:eastAsia="Times New Roman" w:hAnsi="Aptos" w:cs="Calibri"/>
          <w:color w:val="auto"/>
          <w:sz w:val="18"/>
          <w:szCs w:val="18"/>
        </w:rPr>
        <w:t>2 CFR Part 200 Appendix II (J)</w:t>
      </w:r>
    </w:p>
    <w:p w14:paraId="52093EE4" w14:textId="464624E0" w:rsidR="0094196D" w:rsidRDefault="000225CB" w:rsidP="00B37E31">
      <w:pPr>
        <w:tabs>
          <w:tab w:val="left" w:pos="540"/>
          <w:tab w:val="left" w:pos="1440"/>
        </w:tabs>
        <w:spacing w:after="200" w:line="276" w:lineRule="auto"/>
        <w:ind w:left="540" w:hanging="540"/>
        <w:rPr>
          <w:rFonts w:ascii="Aptos" w:eastAsia="Times New Roman" w:hAnsi="Aptos" w:cs="Calibri"/>
          <w:color w:val="000000"/>
          <w:sz w:val="20"/>
          <w:szCs w:val="20"/>
        </w:rPr>
      </w:pPr>
      <w:r w:rsidRPr="000225CB">
        <w:rPr>
          <w:rFonts w:ascii="Aptos" w:eastAsia="Times New Roman" w:hAnsi="Aptos" w:cs="Calibri"/>
          <w:color w:val="000000"/>
          <w:sz w:val="20"/>
          <w:szCs w:val="20"/>
        </w:rPr>
        <w:t>(J)</w:t>
      </w:r>
      <w:r w:rsidRPr="000225CB">
        <w:rPr>
          <w:rFonts w:ascii="Aptos" w:eastAsia="Times New Roman" w:hAnsi="Aptos" w:cs="Calibri"/>
          <w:color w:val="000000"/>
          <w:sz w:val="20"/>
          <w:szCs w:val="20"/>
        </w:rPr>
        <w:tab/>
        <w:t xml:space="preserve">Byrd Anti-Lobbying Amendment (31 U.S.C. 1352)—Contractors that apply or bid for an award of $100,000 or more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w:t>
      </w:r>
      <w:r w:rsidRPr="000225CB">
        <w:rPr>
          <w:rFonts w:ascii="Aptos" w:eastAsia="Times New Roman" w:hAnsi="Aptos" w:cs="Calibri"/>
          <w:color w:val="000000"/>
          <w:sz w:val="20"/>
          <w:szCs w:val="20"/>
        </w:rPr>
        <w:lastRenderedPageBreak/>
        <w:t xml:space="preserve">lobbying with non-Federal funds that takes place in connection with obtaining any Federal award. Such disclosures are forwarded from tier to </w:t>
      </w:r>
      <w:proofErr w:type="spellStart"/>
      <w:r w:rsidRPr="000225CB">
        <w:rPr>
          <w:rFonts w:ascii="Aptos" w:eastAsia="Times New Roman" w:hAnsi="Aptos" w:cs="Calibri"/>
          <w:color w:val="000000"/>
          <w:sz w:val="20"/>
          <w:szCs w:val="20"/>
        </w:rPr>
        <w:t>tier</w:t>
      </w:r>
      <w:proofErr w:type="spellEnd"/>
      <w:r w:rsidRPr="000225CB">
        <w:rPr>
          <w:rFonts w:ascii="Aptos" w:eastAsia="Times New Roman" w:hAnsi="Aptos" w:cs="Calibri"/>
          <w:color w:val="000000"/>
          <w:sz w:val="20"/>
          <w:szCs w:val="20"/>
        </w:rPr>
        <w:t xml:space="preserve"> up to the non-Federal award.</w:t>
      </w:r>
    </w:p>
    <w:p w14:paraId="31D60301" w14:textId="77777777" w:rsidR="00B37E31" w:rsidRPr="000225CB" w:rsidRDefault="00B37E31" w:rsidP="00B37E31">
      <w:pPr>
        <w:tabs>
          <w:tab w:val="left" w:pos="540"/>
          <w:tab w:val="left" w:pos="1440"/>
        </w:tabs>
        <w:spacing w:after="200" w:line="276" w:lineRule="auto"/>
        <w:ind w:left="540" w:hanging="540"/>
        <w:rPr>
          <w:rFonts w:ascii="Aptos" w:eastAsia="Times New Roman" w:hAnsi="Aptos" w:cs="Calibri"/>
          <w:color w:val="000000"/>
          <w:sz w:val="20"/>
          <w:szCs w:val="20"/>
        </w:rPr>
      </w:pPr>
    </w:p>
    <w:p w14:paraId="357545D7" w14:textId="77777777" w:rsidR="000225CB" w:rsidRPr="000225CB" w:rsidRDefault="000225CB" w:rsidP="000225CB">
      <w:pPr>
        <w:tabs>
          <w:tab w:val="left" w:pos="540"/>
          <w:tab w:val="left" w:pos="1440"/>
        </w:tabs>
        <w:ind w:left="547" w:hanging="547"/>
        <w:rPr>
          <w:rFonts w:ascii="Aptos" w:eastAsia="Times New Roman" w:hAnsi="Aptos" w:cs="Calibri"/>
          <w:color w:val="000000"/>
          <w:sz w:val="20"/>
          <w:szCs w:val="20"/>
        </w:rPr>
      </w:pPr>
      <w:r w:rsidRPr="000225CB">
        <w:rPr>
          <w:rFonts w:ascii="Aptos" w:eastAsia="Times New Roman" w:hAnsi="Aptos" w:cs="Calibri"/>
          <w:b/>
          <w:bCs/>
          <w:color w:val="000000"/>
          <w:sz w:val="22"/>
          <w:szCs w:val="22"/>
        </w:rPr>
        <w:t>PROHIBITIION ON CERTAIN TELECOMMUNICATIONS</w:t>
      </w:r>
      <w:r w:rsidRPr="000225CB">
        <w:rPr>
          <w:rFonts w:ascii="Aptos" w:eastAsia="Times New Roman" w:hAnsi="Aptos" w:cs="Calibri"/>
          <w:color w:val="000000"/>
          <w:sz w:val="20"/>
          <w:szCs w:val="20"/>
        </w:rPr>
        <w:t xml:space="preserve"> </w:t>
      </w:r>
      <w:r w:rsidRPr="000225CB">
        <w:rPr>
          <w:rFonts w:ascii="Aptos" w:eastAsia="Times New Roman" w:hAnsi="Aptos" w:cs="Calibri"/>
          <w:color w:val="000000"/>
          <w:sz w:val="20"/>
          <w:szCs w:val="20"/>
        </w:rPr>
        <w:tab/>
      </w:r>
      <w:r w:rsidRPr="000225CB">
        <w:rPr>
          <w:rFonts w:ascii="Aptos" w:eastAsia="Times New Roman" w:hAnsi="Aptos" w:cs="Calibri"/>
          <w:color w:val="000000"/>
          <w:sz w:val="20"/>
          <w:szCs w:val="20"/>
        </w:rPr>
        <w:tab/>
      </w:r>
      <w:r w:rsidRPr="000225CB">
        <w:rPr>
          <w:rFonts w:ascii="Aptos" w:eastAsia="Times New Roman" w:hAnsi="Aptos" w:cs="Calibri"/>
          <w:color w:val="000000"/>
          <w:sz w:val="20"/>
          <w:szCs w:val="20"/>
        </w:rPr>
        <w:tab/>
        <w:t>2 CRF 200.216</w:t>
      </w:r>
    </w:p>
    <w:p w14:paraId="6F052377" w14:textId="77777777" w:rsidR="000225CB" w:rsidRPr="000225CB" w:rsidRDefault="000225CB" w:rsidP="000225CB">
      <w:pPr>
        <w:tabs>
          <w:tab w:val="left" w:pos="540"/>
          <w:tab w:val="left" w:pos="1440"/>
        </w:tabs>
        <w:ind w:left="547" w:hanging="547"/>
        <w:rPr>
          <w:rFonts w:ascii="Aptos" w:eastAsia="Times New Roman" w:hAnsi="Aptos" w:cs="Calibri"/>
          <w:b/>
          <w:bCs/>
          <w:color w:val="000000"/>
          <w:sz w:val="22"/>
          <w:szCs w:val="22"/>
        </w:rPr>
      </w:pPr>
      <w:r w:rsidRPr="000225CB">
        <w:rPr>
          <w:rFonts w:ascii="Aptos" w:eastAsia="Times New Roman" w:hAnsi="Aptos" w:cs="Calibri"/>
          <w:b/>
          <w:bCs/>
          <w:color w:val="000000"/>
          <w:sz w:val="22"/>
          <w:szCs w:val="22"/>
        </w:rPr>
        <w:t>AND VIDEO SERVEILLANCE EQUIPMENT AND SERVICES</w:t>
      </w:r>
    </w:p>
    <w:p w14:paraId="332E8EAF" w14:textId="77777777" w:rsidR="000225CB" w:rsidRPr="000225CB" w:rsidRDefault="000225CB" w:rsidP="000225CB">
      <w:pPr>
        <w:tabs>
          <w:tab w:val="left" w:pos="540"/>
          <w:tab w:val="left" w:pos="1440"/>
        </w:tabs>
        <w:ind w:left="547" w:hanging="547"/>
        <w:rPr>
          <w:rFonts w:ascii="Aptos" w:eastAsia="Times New Roman" w:hAnsi="Aptos" w:cs="Calibri"/>
          <w:b/>
          <w:bCs/>
          <w:color w:val="000000"/>
          <w:sz w:val="20"/>
          <w:szCs w:val="20"/>
        </w:rPr>
      </w:pPr>
    </w:p>
    <w:p w14:paraId="1C248C32" w14:textId="77777777" w:rsidR="000225CB" w:rsidRPr="000225CB" w:rsidRDefault="000225CB" w:rsidP="000225CB">
      <w:pPr>
        <w:tabs>
          <w:tab w:val="left" w:pos="540"/>
          <w:tab w:val="left" w:pos="1440"/>
        </w:tabs>
        <w:ind w:left="547" w:hanging="547"/>
        <w:rPr>
          <w:rFonts w:ascii="Aptos" w:eastAsia="Times New Roman" w:hAnsi="Aptos" w:cs="Calibri"/>
          <w:color w:val="000000"/>
          <w:sz w:val="20"/>
          <w:szCs w:val="20"/>
        </w:rPr>
      </w:pPr>
      <w:r w:rsidRPr="000225CB">
        <w:rPr>
          <w:rFonts w:ascii="Aptos" w:eastAsia="Times New Roman" w:hAnsi="Aptos" w:cs="Calibri"/>
          <w:color w:val="000000"/>
          <w:sz w:val="20"/>
          <w:szCs w:val="20"/>
        </w:rPr>
        <w:t>(a) Recipients and sub recipients are prohibited from obligating or expending loan or grant funds to:</w:t>
      </w:r>
    </w:p>
    <w:p w14:paraId="41230B9E" w14:textId="77777777" w:rsidR="000225CB" w:rsidRPr="000225CB" w:rsidRDefault="000225CB" w:rsidP="000225CB">
      <w:pPr>
        <w:tabs>
          <w:tab w:val="left" w:pos="540"/>
          <w:tab w:val="left" w:pos="1440"/>
        </w:tabs>
        <w:ind w:left="547" w:hanging="547"/>
        <w:rPr>
          <w:rFonts w:ascii="Aptos" w:eastAsia="Times New Roman" w:hAnsi="Aptos" w:cs="Calibri"/>
          <w:color w:val="000000"/>
          <w:sz w:val="20"/>
          <w:szCs w:val="20"/>
        </w:rPr>
      </w:pPr>
      <w:r w:rsidRPr="000225CB">
        <w:rPr>
          <w:rFonts w:ascii="Aptos" w:eastAsia="Times New Roman" w:hAnsi="Aptos" w:cs="Calibri"/>
          <w:color w:val="000000"/>
          <w:sz w:val="20"/>
          <w:szCs w:val="20"/>
        </w:rPr>
        <w:tab/>
        <w:t xml:space="preserve">(1) Procure or obtain covered telecommunications equipment or </w:t>
      </w:r>
      <w:proofErr w:type="gramStart"/>
      <w:r w:rsidRPr="000225CB">
        <w:rPr>
          <w:rFonts w:ascii="Aptos" w:eastAsia="Times New Roman" w:hAnsi="Aptos" w:cs="Calibri"/>
          <w:color w:val="000000"/>
          <w:sz w:val="20"/>
          <w:szCs w:val="20"/>
        </w:rPr>
        <w:t>services;</w:t>
      </w:r>
      <w:proofErr w:type="gramEnd"/>
    </w:p>
    <w:p w14:paraId="788181BD" w14:textId="77777777" w:rsidR="000225CB" w:rsidRPr="000225CB" w:rsidRDefault="000225CB" w:rsidP="000225CB">
      <w:pPr>
        <w:tabs>
          <w:tab w:val="left" w:pos="540"/>
          <w:tab w:val="left" w:pos="1440"/>
        </w:tabs>
        <w:ind w:left="547" w:hanging="547"/>
        <w:rPr>
          <w:rFonts w:ascii="Aptos" w:eastAsia="Times New Roman" w:hAnsi="Aptos" w:cs="Calibri"/>
          <w:color w:val="000000"/>
          <w:sz w:val="20"/>
          <w:szCs w:val="20"/>
        </w:rPr>
      </w:pPr>
      <w:r w:rsidRPr="000225CB">
        <w:rPr>
          <w:rFonts w:ascii="Aptos" w:eastAsia="Times New Roman" w:hAnsi="Aptos" w:cs="Calibri"/>
          <w:color w:val="000000"/>
          <w:sz w:val="20"/>
          <w:szCs w:val="20"/>
        </w:rPr>
        <w:tab/>
        <w:t>(2) Extend or renew a contract to procure or obtain covered telecommunications equipment or services; or</w:t>
      </w:r>
    </w:p>
    <w:p w14:paraId="1B5B2B98" w14:textId="77777777" w:rsidR="000225CB" w:rsidRPr="000225CB" w:rsidRDefault="000225CB" w:rsidP="000225CB">
      <w:pPr>
        <w:tabs>
          <w:tab w:val="left" w:pos="540"/>
          <w:tab w:val="left" w:pos="1440"/>
        </w:tabs>
        <w:ind w:left="547" w:hanging="547"/>
        <w:rPr>
          <w:rFonts w:ascii="Aptos" w:eastAsia="Times New Roman" w:hAnsi="Aptos" w:cs="Calibri"/>
          <w:color w:val="000000"/>
          <w:sz w:val="20"/>
          <w:szCs w:val="20"/>
        </w:rPr>
      </w:pPr>
      <w:r w:rsidRPr="000225CB">
        <w:rPr>
          <w:rFonts w:ascii="Aptos" w:eastAsia="Times New Roman" w:hAnsi="Aptos" w:cs="Calibri"/>
          <w:color w:val="000000"/>
          <w:sz w:val="20"/>
          <w:szCs w:val="20"/>
        </w:rPr>
        <w:tab/>
        <w:t>(3) Enter into a contract (or extend or renew a contract) to procure or obtain covered telecommunications equipment or services.</w:t>
      </w:r>
    </w:p>
    <w:p w14:paraId="13A42A7B" w14:textId="77777777" w:rsidR="000225CB" w:rsidRPr="000225CB" w:rsidRDefault="000225CB" w:rsidP="000225CB">
      <w:pPr>
        <w:tabs>
          <w:tab w:val="left" w:pos="540"/>
          <w:tab w:val="left" w:pos="1440"/>
        </w:tabs>
        <w:ind w:left="547" w:hanging="547"/>
        <w:rPr>
          <w:rFonts w:ascii="Aptos" w:eastAsia="Times New Roman" w:hAnsi="Aptos" w:cs="Calibri"/>
          <w:color w:val="000000"/>
          <w:sz w:val="20"/>
          <w:szCs w:val="20"/>
        </w:rPr>
      </w:pPr>
    </w:p>
    <w:p w14:paraId="1BFE765F" w14:textId="77777777" w:rsidR="000225CB" w:rsidRPr="000225CB" w:rsidRDefault="000225CB" w:rsidP="000225CB">
      <w:pPr>
        <w:tabs>
          <w:tab w:val="left" w:pos="540"/>
          <w:tab w:val="left" w:pos="1440"/>
        </w:tabs>
        <w:ind w:left="0"/>
        <w:rPr>
          <w:rFonts w:ascii="Aptos" w:eastAsia="Times New Roman" w:hAnsi="Aptos" w:cs="Calibri"/>
          <w:color w:val="000000"/>
          <w:sz w:val="20"/>
          <w:szCs w:val="20"/>
        </w:rPr>
      </w:pPr>
      <w:r w:rsidRPr="000225CB">
        <w:rPr>
          <w:rFonts w:ascii="Aptos" w:eastAsia="Times New Roman" w:hAnsi="Aptos" w:cs="Calibri"/>
          <w:color w:val="000000"/>
          <w:sz w:val="20"/>
          <w:szCs w:val="20"/>
        </w:rPr>
        <w:t>(b) As described in section 889 of Public Law 115-232, “covered telecommunications equipment or services” means any of the following:</w:t>
      </w:r>
    </w:p>
    <w:p w14:paraId="0C0FCB25" w14:textId="77777777" w:rsidR="000225CB" w:rsidRPr="000225CB" w:rsidRDefault="000225CB" w:rsidP="000225CB">
      <w:pPr>
        <w:tabs>
          <w:tab w:val="left" w:pos="540"/>
          <w:tab w:val="left" w:pos="1440"/>
        </w:tabs>
        <w:ind w:left="540"/>
        <w:rPr>
          <w:rFonts w:ascii="Aptos" w:eastAsia="Times New Roman" w:hAnsi="Aptos" w:cs="Calibri"/>
          <w:color w:val="000000"/>
          <w:sz w:val="20"/>
          <w:szCs w:val="20"/>
        </w:rPr>
      </w:pPr>
      <w:r w:rsidRPr="000225CB">
        <w:rPr>
          <w:rFonts w:ascii="Aptos" w:eastAsia="Times New Roman" w:hAnsi="Aptos" w:cs="Calibri"/>
          <w:color w:val="000000"/>
          <w:sz w:val="20"/>
          <w:szCs w:val="20"/>
        </w:rPr>
        <w:t>(1) Telecommunications equipment produced by Huawei Technologies Company or ZTE Corporation (or any subsidiary or affiliate of such entities</w:t>
      </w:r>
      <w:proofErr w:type="gramStart"/>
      <w:r w:rsidRPr="000225CB">
        <w:rPr>
          <w:rFonts w:ascii="Aptos" w:eastAsia="Times New Roman" w:hAnsi="Aptos" w:cs="Calibri"/>
          <w:color w:val="000000"/>
          <w:sz w:val="20"/>
          <w:szCs w:val="20"/>
        </w:rPr>
        <w:t>);</w:t>
      </w:r>
      <w:proofErr w:type="gramEnd"/>
    </w:p>
    <w:p w14:paraId="54F0F97F" w14:textId="77777777" w:rsidR="000225CB" w:rsidRPr="000225CB" w:rsidRDefault="000225CB" w:rsidP="000225CB">
      <w:pPr>
        <w:tabs>
          <w:tab w:val="left" w:pos="540"/>
          <w:tab w:val="left" w:pos="1440"/>
        </w:tabs>
        <w:ind w:left="540"/>
        <w:rPr>
          <w:rFonts w:ascii="Aptos" w:eastAsia="Times New Roman" w:hAnsi="Aptos" w:cs="Calibri"/>
          <w:color w:val="000000"/>
          <w:sz w:val="20"/>
          <w:szCs w:val="20"/>
        </w:rPr>
      </w:pPr>
      <w:r w:rsidRPr="000225CB">
        <w:rPr>
          <w:rFonts w:ascii="Aptos" w:eastAsia="Times New Roman" w:hAnsi="Aptos" w:cs="Calibri"/>
          <w:color w:val="000000"/>
          <w:sz w:val="20"/>
          <w:szCs w:val="20"/>
        </w:rPr>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roofErr w:type="gramStart"/>
      <w:r w:rsidRPr="000225CB">
        <w:rPr>
          <w:rFonts w:ascii="Aptos" w:eastAsia="Times New Roman" w:hAnsi="Aptos" w:cs="Calibri"/>
          <w:color w:val="000000"/>
          <w:sz w:val="20"/>
          <w:szCs w:val="20"/>
        </w:rPr>
        <w:t>);</w:t>
      </w:r>
      <w:proofErr w:type="gramEnd"/>
    </w:p>
    <w:p w14:paraId="3BA059AC" w14:textId="77777777" w:rsidR="000225CB" w:rsidRPr="000225CB" w:rsidRDefault="000225CB" w:rsidP="000225CB">
      <w:pPr>
        <w:tabs>
          <w:tab w:val="left" w:pos="540"/>
          <w:tab w:val="left" w:pos="1440"/>
        </w:tabs>
        <w:ind w:left="540"/>
        <w:rPr>
          <w:rFonts w:ascii="Aptos" w:eastAsia="Times New Roman" w:hAnsi="Aptos" w:cs="Calibri"/>
          <w:color w:val="000000"/>
          <w:sz w:val="20"/>
          <w:szCs w:val="20"/>
        </w:rPr>
      </w:pPr>
      <w:r w:rsidRPr="000225CB">
        <w:rPr>
          <w:rFonts w:ascii="Aptos" w:eastAsia="Times New Roman" w:hAnsi="Aptos" w:cs="Calibri"/>
          <w:color w:val="000000"/>
          <w:sz w:val="20"/>
          <w:szCs w:val="20"/>
        </w:rPr>
        <w:t xml:space="preserve">(3) Telecommunications or video surveillance services provided by such entities or using such </w:t>
      </w:r>
      <w:proofErr w:type="gramStart"/>
      <w:r w:rsidRPr="000225CB">
        <w:rPr>
          <w:rFonts w:ascii="Aptos" w:eastAsia="Times New Roman" w:hAnsi="Aptos" w:cs="Calibri"/>
          <w:color w:val="000000"/>
          <w:sz w:val="20"/>
          <w:szCs w:val="20"/>
        </w:rPr>
        <w:t>equipment;</w:t>
      </w:r>
      <w:proofErr w:type="gramEnd"/>
    </w:p>
    <w:p w14:paraId="119D01D7" w14:textId="77777777" w:rsidR="000225CB" w:rsidRPr="000225CB" w:rsidRDefault="000225CB" w:rsidP="000225CB">
      <w:pPr>
        <w:tabs>
          <w:tab w:val="left" w:pos="540"/>
          <w:tab w:val="left" w:pos="1440"/>
        </w:tabs>
        <w:ind w:left="540"/>
        <w:rPr>
          <w:rFonts w:ascii="Aptos" w:eastAsia="Times New Roman" w:hAnsi="Aptos" w:cs="Calibri"/>
          <w:color w:val="000000"/>
          <w:sz w:val="20"/>
          <w:szCs w:val="20"/>
        </w:rPr>
      </w:pPr>
      <w:r w:rsidRPr="000225CB">
        <w:rPr>
          <w:rFonts w:ascii="Aptos" w:eastAsia="Times New Roman" w:hAnsi="Aptos" w:cs="Calibri"/>
          <w:color w:val="000000"/>
          <w:sz w:val="20"/>
          <w:szCs w:val="20"/>
        </w:rPr>
        <w:t xml:space="preserve">(4)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w:t>
      </w:r>
      <w:proofErr w:type="gramStart"/>
      <w:r w:rsidRPr="000225CB">
        <w:rPr>
          <w:rFonts w:ascii="Aptos" w:eastAsia="Times New Roman" w:hAnsi="Aptos" w:cs="Calibri"/>
          <w:color w:val="000000"/>
          <w:sz w:val="20"/>
          <w:szCs w:val="20"/>
        </w:rPr>
        <w:t>country;</w:t>
      </w:r>
      <w:proofErr w:type="gramEnd"/>
    </w:p>
    <w:p w14:paraId="4F5C4D3A" w14:textId="77777777" w:rsidR="000225CB" w:rsidRPr="000225CB" w:rsidRDefault="000225CB" w:rsidP="000225CB">
      <w:pPr>
        <w:tabs>
          <w:tab w:val="left" w:pos="540"/>
          <w:tab w:val="left" w:pos="1440"/>
        </w:tabs>
        <w:ind w:left="0"/>
        <w:rPr>
          <w:rFonts w:ascii="Aptos" w:eastAsia="Times New Roman" w:hAnsi="Aptos" w:cs="Calibri"/>
          <w:color w:val="000000"/>
          <w:sz w:val="20"/>
          <w:szCs w:val="20"/>
        </w:rPr>
      </w:pPr>
    </w:p>
    <w:p w14:paraId="230B85C9" w14:textId="77777777" w:rsidR="000225CB" w:rsidRPr="000225CB" w:rsidRDefault="000225CB" w:rsidP="000225CB">
      <w:pPr>
        <w:tabs>
          <w:tab w:val="left" w:pos="540"/>
          <w:tab w:val="left" w:pos="1440"/>
        </w:tabs>
        <w:ind w:left="0"/>
        <w:rPr>
          <w:rFonts w:ascii="Aptos" w:eastAsia="Times New Roman" w:hAnsi="Aptos" w:cs="Calibri"/>
          <w:color w:val="000000"/>
          <w:sz w:val="20"/>
          <w:szCs w:val="20"/>
        </w:rPr>
      </w:pPr>
      <w:r w:rsidRPr="000225CB">
        <w:rPr>
          <w:rFonts w:ascii="Aptos" w:eastAsia="Times New Roman" w:hAnsi="Aptos" w:cs="Calibri"/>
          <w:color w:val="000000"/>
          <w:sz w:val="20"/>
          <w:szCs w:val="20"/>
        </w:rPr>
        <w:t>(c) For the purposes of this section, “covered telecommunications equipment or services” also include systems that use covered telecommunications equipment or services as a substantial or essential component of any system, or as critical technology as part of any system.</w:t>
      </w:r>
    </w:p>
    <w:p w14:paraId="0C183016" w14:textId="77777777" w:rsidR="000225CB" w:rsidRPr="000225CB" w:rsidRDefault="000225CB" w:rsidP="000225CB">
      <w:pPr>
        <w:tabs>
          <w:tab w:val="left" w:pos="540"/>
          <w:tab w:val="left" w:pos="1440"/>
        </w:tabs>
        <w:ind w:left="547" w:hanging="547"/>
        <w:rPr>
          <w:rFonts w:ascii="Aptos" w:eastAsia="Times New Roman" w:hAnsi="Aptos" w:cs="Calibri"/>
          <w:color w:val="000000"/>
          <w:sz w:val="20"/>
          <w:szCs w:val="20"/>
        </w:rPr>
      </w:pPr>
    </w:p>
    <w:p w14:paraId="16F97B16" w14:textId="77777777" w:rsidR="000225CB" w:rsidRPr="000225CB" w:rsidRDefault="000225CB" w:rsidP="000225CB">
      <w:pPr>
        <w:tabs>
          <w:tab w:val="left" w:pos="540"/>
          <w:tab w:val="left" w:pos="1440"/>
        </w:tabs>
        <w:ind w:left="0"/>
        <w:rPr>
          <w:rFonts w:ascii="Aptos" w:eastAsia="Times New Roman" w:hAnsi="Aptos" w:cs="Calibri"/>
          <w:color w:val="000000"/>
          <w:sz w:val="20"/>
          <w:szCs w:val="20"/>
        </w:rPr>
      </w:pPr>
      <w:r w:rsidRPr="000225CB">
        <w:rPr>
          <w:rFonts w:ascii="Aptos" w:eastAsia="Times New Roman" w:hAnsi="Aptos" w:cs="Calibri"/>
          <w:color w:val="000000"/>
          <w:sz w:val="20"/>
          <w:szCs w:val="20"/>
        </w:rPr>
        <w:t>(d) In implementing the prohibition under section 889 of Public Law 115-232, heads of executive agencies administering loan, grant, or subsidy programs must prioritize available funding and technical support to assist affected businesses, institutions, and organizations as is reasonably necessary for those affected entities to transition from covered telecommunications equipment or services, to procure replacement equipment or services, and to ensure that communications service to users and customers is sustained.</w:t>
      </w:r>
    </w:p>
    <w:p w14:paraId="7BF3AC37" w14:textId="77777777" w:rsidR="000225CB" w:rsidRPr="000225CB" w:rsidRDefault="000225CB" w:rsidP="000225CB">
      <w:pPr>
        <w:tabs>
          <w:tab w:val="left" w:pos="540"/>
          <w:tab w:val="left" w:pos="1440"/>
        </w:tabs>
        <w:ind w:left="547" w:hanging="547"/>
        <w:rPr>
          <w:rFonts w:ascii="Aptos" w:eastAsia="Times New Roman" w:hAnsi="Aptos" w:cs="Calibri"/>
          <w:color w:val="000000"/>
          <w:sz w:val="20"/>
          <w:szCs w:val="20"/>
        </w:rPr>
      </w:pPr>
    </w:p>
    <w:p w14:paraId="4E22C725" w14:textId="77777777" w:rsidR="000225CB" w:rsidRPr="000225CB" w:rsidRDefault="000225CB" w:rsidP="000225CB">
      <w:pPr>
        <w:tabs>
          <w:tab w:val="left" w:pos="540"/>
          <w:tab w:val="left" w:pos="1440"/>
        </w:tabs>
        <w:ind w:left="0"/>
        <w:rPr>
          <w:rFonts w:ascii="Aptos" w:eastAsia="Times New Roman" w:hAnsi="Aptos" w:cs="Calibri"/>
          <w:color w:val="000000"/>
          <w:sz w:val="20"/>
          <w:szCs w:val="20"/>
        </w:rPr>
      </w:pPr>
      <w:proofErr w:type="gramStart"/>
      <w:r w:rsidRPr="000225CB">
        <w:rPr>
          <w:rFonts w:ascii="Aptos" w:eastAsia="Times New Roman" w:hAnsi="Aptos" w:cs="Calibri"/>
          <w:color w:val="000000"/>
          <w:sz w:val="20"/>
          <w:szCs w:val="20"/>
        </w:rPr>
        <w:t>(e) When</w:t>
      </w:r>
      <w:proofErr w:type="gramEnd"/>
      <w:r w:rsidRPr="000225CB">
        <w:rPr>
          <w:rFonts w:ascii="Aptos" w:eastAsia="Times New Roman" w:hAnsi="Aptos" w:cs="Calibri"/>
          <w:color w:val="000000"/>
          <w:sz w:val="20"/>
          <w:szCs w:val="20"/>
        </w:rPr>
        <w:t xml:space="preserve"> the recipient or subrecipient accepts a loan or grant, it is </w:t>
      </w:r>
      <w:proofErr w:type="gramStart"/>
      <w:r w:rsidRPr="000225CB">
        <w:rPr>
          <w:rFonts w:ascii="Aptos" w:eastAsia="Times New Roman" w:hAnsi="Aptos" w:cs="Calibri"/>
          <w:color w:val="000000"/>
          <w:sz w:val="20"/>
          <w:szCs w:val="20"/>
        </w:rPr>
        <w:t>certifying</w:t>
      </w:r>
      <w:proofErr w:type="gramEnd"/>
      <w:r w:rsidRPr="000225CB">
        <w:rPr>
          <w:rFonts w:ascii="Aptos" w:eastAsia="Times New Roman" w:hAnsi="Aptos" w:cs="Calibri"/>
          <w:color w:val="000000"/>
          <w:sz w:val="20"/>
          <w:szCs w:val="20"/>
        </w:rPr>
        <w:t xml:space="preserve"> that it will comply with the prohibition on covered telecommunications equipment and services in this section. The recipient or subrecipient is not required to certify that funds will not be expended on covered telecommunications equipment or services beyond the certification provided upon accepting the loan or grant and those provided upon submitting payment requests and financial reports.</w:t>
      </w:r>
    </w:p>
    <w:p w14:paraId="273EB860" w14:textId="77777777" w:rsidR="000225CB" w:rsidRPr="000225CB" w:rsidRDefault="000225CB" w:rsidP="000225CB">
      <w:pPr>
        <w:tabs>
          <w:tab w:val="left" w:pos="540"/>
          <w:tab w:val="left" w:pos="1440"/>
        </w:tabs>
        <w:ind w:left="547" w:hanging="547"/>
        <w:rPr>
          <w:rFonts w:ascii="Aptos" w:eastAsia="Times New Roman" w:hAnsi="Aptos" w:cs="Calibri"/>
          <w:color w:val="000000"/>
          <w:sz w:val="20"/>
          <w:szCs w:val="20"/>
        </w:rPr>
      </w:pPr>
    </w:p>
    <w:p w14:paraId="2C33FDDD" w14:textId="77777777" w:rsidR="000225CB" w:rsidRPr="000225CB" w:rsidRDefault="000225CB" w:rsidP="000225CB">
      <w:pPr>
        <w:tabs>
          <w:tab w:val="left" w:pos="540"/>
          <w:tab w:val="left" w:pos="1440"/>
        </w:tabs>
        <w:ind w:left="547" w:hanging="547"/>
        <w:rPr>
          <w:rFonts w:ascii="Aptos" w:eastAsia="Times New Roman" w:hAnsi="Aptos" w:cs="Calibri"/>
          <w:color w:val="000000"/>
          <w:sz w:val="20"/>
          <w:szCs w:val="20"/>
        </w:rPr>
      </w:pPr>
      <w:proofErr w:type="gramStart"/>
      <w:r w:rsidRPr="000225CB">
        <w:rPr>
          <w:rFonts w:ascii="Aptos" w:eastAsia="Times New Roman" w:hAnsi="Aptos" w:cs="Calibri"/>
          <w:color w:val="000000"/>
          <w:sz w:val="20"/>
          <w:szCs w:val="20"/>
        </w:rPr>
        <w:t>(f) For</w:t>
      </w:r>
      <w:proofErr w:type="gramEnd"/>
      <w:r w:rsidRPr="000225CB">
        <w:rPr>
          <w:rFonts w:ascii="Aptos" w:eastAsia="Times New Roman" w:hAnsi="Aptos" w:cs="Calibri"/>
          <w:color w:val="000000"/>
          <w:sz w:val="20"/>
          <w:szCs w:val="20"/>
        </w:rPr>
        <w:t xml:space="preserve"> additional information, see section 889 of Public Law 115-232 and § 200.471.</w:t>
      </w:r>
    </w:p>
    <w:p w14:paraId="56239A05" w14:textId="77777777" w:rsidR="003A6834" w:rsidRDefault="003A6834" w:rsidP="00B166EC">
      <w:pPr>
        <w:pStyle w:val="BodyText"/>
        <w:ind w:left="0"/>
      </w:pPr>
    </w:p>
    <w:sectPr w:rsidR="003A6834" w:rsidSect="00E16873">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F674" w14:textId="77777777" w:rsidR="00B03F1D" w:rsidRDefault="00B03F1D" w:rsidP="00DD6983">
      <w:r>
        <w:separator/>
      </w:r>
    </w:p>
  </w:endnote>
  <w:endnote w:type="continuationSeparator" w:id="0">
    <w:p w14:paraId="46538451" w14:textId="77777777" w:rsidR="00B03F1D" w:rsidRDefault="00B03F1D" w:rsidP="00DD6983">
      <w:r>
        <w:continuationSeparator/>
      </w:r>
    </w:p>
  </w:endnote>
  <w:endnote w:type="continuationNotice" w:id="1">
    <w:p w14:paraId="0477B29D" w14:textId="77777777" w:rsidR="00B03F1D" w:rsidRDefault="00B03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A7EC" w14:textId="77777777" w:rsidR="00DD2A18" w:rsidRDefault="00DD2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610707"/>
      <w:docPartObj>
        <w:docPartGallery w:val="Page Numbers (Bottom of Page)"/>
        <w:docPartUnique/>
      </w:docPartObj>
    </w:sdtPr>
    <w:sdtEndPr>
      <w:rPr>
        <w:noProof/>
      </w:rPr>
    </w:sdtEndPr>
    <w:sdtContent>
      <w:p w14:paraId="71704C91" w14:textId="5EA64419" w:rsidR="00226EC7" w:rsidRDefault="00226EC7" w:rsidP="00226EC7">
        <w:pPr>
          <w:pStyle w:val="Footer"/>
          <w:ind w:left="0"/>
          <w:jc w:val="right"/>
        </w:pPr>
        <w:r>
          <w:fldChar w:fldCharType="begin"/>
        </w:r>
        <w:r>
          <w:instrText xml:space="preserve"> PAGE   \* MERGEFORMAT </w:instrText>
        </w:r>
        <w:r>
          <w:fldChar w:fldCharType="separate"/>
        </w:r>
        <w:r>
          <w:rPr>
            <w:noProof/>
          </w:rPr>
          <w:t>2</w:t>
        </w:r>
        <w:r>
          <w:rPr>
            <w:noProof/>
          </w:rPr>
          <w:fldChar w:fldCharType="end"/>
        </w:r>
      </w:p>
    </w:sdtContent>
  </w:sdt>
  <w:p w14:paraId="30782B78" w14:textId="77777777" w:rsidR="009D4AC5" w:rsidRDefault="009D4AC5" w:rsidP="00DD6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F04A" w14:textId="77777777" w:rsidR="00DD2A18" w:rsidRDefault="00DD2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C937" w14:textId="77777777" w:rsidR="00B03F1D" w:rsidRDefault="00B03F1D" w:rsidP="00DD6983">
      <w:r>
        <w:separator/>
      </w:r>
    </w:p>
  </w:footnote>
  <w:footnote w:type="continuationSeparator" w:id="0">
    <w:p w14:paraId="6087BF79" w14:textId="77777777" w:rsidR="00B03F1D" w:rsidRDefault="00B03F1D" w:rsidP="00DD6983">
      <w:r>
        <w:continuationSeparator/>
      </w:r>
    </w:p>
  </w:footnote>
  <w:footnote w:type="continuationNotice" w:id="1">
    <w:p w14:paraId="14FB4A9E" w14:textId="77777777" w:rsidR="00B03F1D" w:rsidRDefault="00B03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511E" w14:textId="77777777" w:rsidR="00DD2A18" w:rsidRDefault="00DD2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994A" w14:textId="591ED063" w:rsidR="00DD2A18" w:rsidRDefault="00DD2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28FE" w14:textId="77777777" w:rsidR="00DD2A18" w:rsidRDefault="00DD2A1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3CaGOba" int2:invalidationBookmarkName="" int2:hashCode="6/sunCrCDhoENq" int2:id="1fJZxsWL">
      <int2:state int2:value="Rejected" int2:type="AugLoop_Text_Critique"/>
    </int2:bookmark>
    <int2:bookmark int2:bookmarkName="_Int_dnvAvw4e" int2:invalidationBookmarkName="" int2:hashCode="WQq6rOQb2xBHt3" int2:id="DkY32PcU">
      <int2:state int2:value="Rejected" int2:type="AugLoop_Text_Critique"/>
    </int2:bookmark>
    <int2:bookmark int2:bookmarkName="_Int_d8bK7hK8" int2:invalidationBookmarkName="" int2:hashCode="Oa6J4KE1lFpeCN" int2:id="fHbrrSb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9CB"/>
    <w:multiLevelType w:val="hybridMultilevel"/>
    <w:tmpl w:val="E126267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43D51DF"/>
    <w:multiLevelType w:val="hybridMultilevel"/>
    <w:tmpl w:val="4EB6229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15:restartNumberingAfterBreak="0">
    <w:nsid w:val="060E0A3B"/>
    <w:multiLevelType w:val="hybridMultilevel"/>
    <w:tmpl w:val="0DD606E0"/>
    <w:lvl w:ilvl="0" w:tplc="9770243E">
      <w:start w:val="2"/>
      <w:numFmt w:val="decimal"/>
      <w:lvlText w:val="(%1)"/>
      <w:lvlJc w:val="left"/>
      <w:pPr>
        <w:ind w:left="72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73596A"/>
    <w:multiLevelType w:val="hybridMultilevel"/>
    <w:tmpl w:val="E6B2E4D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96639FC"/>
    <w:multiLevelType w:val="hybridMultilevel"/>
    <w:tmpl w:val="687CCC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954A00"/>
    <w:multiLevelType w:val="hybridMultilevel"/>
    <w:tmpl w:val="2B8C1A0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0A41078A"/>
    <w:multiLevelType w:val="hybridMultilevel"/>
    <w:tmpl w:val="C9BA79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CD44B46"/>
    <w:multiLevelType w:val="hybridMultilevel"/>
    <w:tmpl w:val="82B6E1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FA6091A"/>
    <w:multiLevelType w:val="hybridMultilevel"/>
    <w:tmpl w:val="055292E8"/>
    <w:lvl w:ilvl="0" w:tplc="4B345B8E">
      <w:start w:val="3"/>
      <w:numFmt w:val="lowerLetter"/>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0011F"/>
    <w:multiLevelType w:val="hybridMultilevel"/>
    <w:tmpl w:val="3C5C0026"/>
    <w:lvl w:ilvl="0" w:tplc="27D693D4">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0906EE"/>
    <w:multiLevelType w:val="hybridMultilevel"/>
    <w:tmpl w:val="249AA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31841DD"/>
    <w:multiLevelType w:val="hybridMultilevel"/>
    <w:tmpl w:val="7C8EC1CC"/>
    <w:lvl w:ilvl="0" w:tplc="687263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360D0"/>
    <w:multiLevelType w:val="hybridMultilevel"/>
    <w:tmpl w:val="99F27F4C"/>
    <w:lvl w:ilvl="0" w:tplc="0409000F">
      <w:start w:val="1"/>
      <w:numFmt w:val="decimal"/>
      <w:lvlText w:val="%1."/>
      <w:lvlJc w:val="left"/>
      <w:pPr>
        <w:ind w:left="720" w:hanging="360"/>
      </w:pPr>
      <w:rPr>
        <w:rFonts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F3D2E"/>
    <w:multiLevelType w:val="hybridMultilevel"/>
    <w:tmpl w:val="83EC99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C9819F7"/>
    <w:multiLevelType w:val="hybridMultilevel"/>
    <w:tmpl w:val="94DA15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1CA35527"/>
    <w:multiLevelType w:val="hybridMultilevel"/>
    <w:tmpl w:val="2370E1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CCE4054"/>
    <w:multiLevelType w:val="hybridMultilevel"/>
    <w:tmpl w:val="11D0CC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F996ABB"/>
    <w:multiLevelType w:val="hybridMultilevel"/>
    <w:tmpl w:val="B686A6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FC15A08"/>
    <w:multiLevelType w:val="hybridMultilevel"/>
    <w:tmpl w:val="71FE7D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0675A00"/>
    <w:multiLevelType w:val="hybridMultilevel"/>
    <w:tmpl w:val="041CFE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2BA736D"/>
    <w:multiLevelType w:val="hybridMultilevel"/>
    <w:tmpl w:val="BC826FDA"/>
    <w:lvl w:ilvl="0" w:tplc="89227A2C">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5364A1A"/>
    <w:multiLevelType w:val="hybridMultilevel"/>
    <w:tmpl w:val="589CC6A0"/>
    <w:lvl w:ilvl="0" w:tplc="ABECF9F2">
      <w:start w:val="1"/>
      <w:numFmt w:val="upperRoman"/>
      <w:lvlText w:val="(%1)"/>
      <w:lvlJc w:val="left"/>
      <w:pPr>
        <w:ind w:left="720" w:hanging="720"/>
      </w:pPr>
      <w:rPr>
        <w:rFonts w:ascii="Arial"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4219FD"/>
    <w:multiLevelType w:val="multilevel"/>
    <w:tmpl w:val="3C4461B2"/>
    <w:lvl w:ilvl="0">
      <w:start w:val="1"/>
      <w:numFmt w:val="upperRoman"/>
      <w:pStyle w:val="Heading1"/>
      <w:lvlText w:val="%1."/>
      <w:lvlJc w:val="left"/>
      <w:pPr>
        <w:ind w:left="0" w:firstLine="0"/>
      </w:pPr>
    </w:lvl>
    <w:lvl w:ilvl="1">
      <w:start w:val="1"/>
      <w:numFmt w:val="upperLetter"/>
      <w:pStyle w:val="Heading2"/>
      <w:lvlText w:val="%2."/>
      <w:lvlJc w:val="left"/>
      <w:pPr>
        <w:ind w:left="7110" w:firstLine="0"/>
      </w:pPr>
    </w:lvl>
    <w:lvl w:ilvl="2">
      <w:start w:val="1"/>
      <w:numFmt w:val="decimal"/>
      <w:pStyle w:val="Heading3"/>
      <w:lvlText w:val="%3."/>
      <w:lvlJc w:val="left"/>
      <w:pPr>
        <w:ind w:left="171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25F30201"/>
    <w:multiLevelType w:val="hybridMultilevel"/>
    <w:tmpl w:val="140C5F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63F7D30"/>
    <w:multiLevelType w:val="hybridMultilevel"/>
    <w:tmpl w:val="D4067FA2"/>
    <w:lvl w:ilvl="0" w:tplc="FEB2ABD8">
      <w:start w:val="1"/>
      <w:numFmt w:val="upperLetter"/>
      <w:lvlText w:val="%1."/>
      <w:lvlJc w:val="left"/>
      <w:pPr>
        <w:ind w:left="353" w:hanging="234"/>
      </w:pPr>
      <w:rPr>
        <w:rFonts w:hint="default"/>
        <w:spacing w:val="-1"/>
        <w:w w:val="100"/>
        <w:lang w:val="en-US" w:eastAsia="en-US" w:bidi="ar-SA"/>
      </w:rPr>
    </w:lvl>
    <w:lvl w:ilvl="1" w:tplc="0B54FCAC">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0778C50C">
      <w:numFmt w:val="bullet"/>
      <w:lvlText w:val="•"/>
      <w:lvlJc w:val="left"/>
      <w:pPr>
        <w:ind w:left="2453" w:hanging="360"/>
      </w:pPr>
      <w:rPr>
        <w:rFonts w:hint="default"/>
        <w:lang w:val="en-US" w:eastAsia="en-US" w:bidi="ar-SA"/>
      </w:rPr>
    </w:lvl>
    <w:lvl w:ilvl="3" w:tplc="093EE256">
      <w:numFmt w:val="bullet"/>
      <w:lvlText w:val="•"/>
      <w:lvlJc w:val="left"/>
      <w:pPr>
        <w:ind w:left="3346" w:hanging="360"/>
      </w:pPr>
      <w:rPr>
        <w:rFonts w:hint="default"/>
        <w:lang w:val="en-US" w:eastAsia="en-US" w:bidi="ar-SA"/>
      </w:rPr>
    </w:lvl>
    <w:lvl w:ilvl="4" w:tplc="7F0695C8">
      <w:numFmt w:val="bullet"/>
      <w:lvlText w:val="•"/>
      <w:lvlJc w:val="left"/>
      <w:pPr>
        <w:ind w:left="4240" w:hanging="360"/>
      </w:pPr>
      <w:rPr>
        <w:rFonts w:hint="default"/>
        <w:lang w:val="en-US" w:eastAsia="en-US" w:bidi="ar-SA"/>
      </w:rPr>
    </w:lvl>
    <w:lvl w:ilvl="5" w:tplc="8F1225EE">
      <w:numFmt w:val="bullet"/>
      <w:lvlText w:val="•"/>
      <w:lvlJc w:val="left"/>
      <w:pPr>
        <w:ind w:left="5133" w:hanging="360"/>
      </w:pPr>
      <w:rPr>
        <w:rFonts w:hint="default"/>
        <w:lang w:val="en-US" w:eastAsia="en-US" w:bidi="ar-SA"/>
      </w:rPr>
    </w:lvl>
    <w:lvl w:ilvl="6" w:tplc="A5FE8218">
      <w:numFmt w:val="bullet"/>
      <w:lvlText w:val="•"/>
      <w:lvlJc w:val="left"/>
      <w:pPr>
        <w:ind w:left="6026" w:hanging="360"/>
      </w:pPr>
      <w:rPr>
        <w:rFonts w:hint="default"/>
        <w:lang w:val="en-US" w:eastAsia="en-US" w:bidi="ar-SA"/>
      </w:rPr>
    </w:lvl>
    <w:lvl w:ilvl="7" w:tplc="7A047990">
      <w:numFmt w:val="bullet"/>
      <w:lvlText w:val="•"/>
      <w:lvlJc w:val="left"/>
      <w:pPr>
        <w:ind w:left="6920" w:hanging="360"/>
      </w:pPr>
      <w:rPr>
        <w:rFonts w:hint="default"/>
        <w:lang w:val="en-US" w:eastAsia="en-US" w:bidi="ar-SA"/>
      </w:rPr>
    </w:lvl>
    <w:lvl w:ilvl="8" w:tplc="FDB22208">
      <w:numFmt w:val="bullet"/>
      <w:lvlText w:val="•"/>
      <w:lvlJc w:val="left"/>
      <w:pPr>
        <w:ind w:left="7813" w:hanging="360"/>
      </w:pPr>
      <w:rPr>
        <w:rFonts w:hint="default"/>
        <w:lang w:val="en-US" w:eastAsia="en-US" w:bidi="ar-SA"/>
      </w:rPr>
    </w:lvl>
  </w:abstractNum>
  <w:abstractNum w:abstractNumId="25" w15:restartNumberingAfterBreak="0">
    <w:nsid w:val="2677504A"/>
    <w:multiLevelType w:val="hybridMultilevel"/>
    <w:tmpl w:val="D42AEC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278B31AA"/>
    <w:multiLevelType w:val="multilevel"/>
    <w:tmpl w:val="F98A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B9513F"/>
    <w:multiLevelType w:val="hybridMultilevel"/>
    <w:tmpl w:val="DA1613CA"/>
    <w:lvl w:ilvl="0" w:tplc="FFDC4344">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F12A7B"/>
    <w:multiLevelType w:val="hybridMultilevel"/>
    <w:tmpl w:val="ECF6228E"/>
    <w:lvl w:ilvl="0" w:tplc="5F7ED97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135542"/>
    <w:multiLevelType w:val="hybridMultilevel"/>
    <w:tmpl w:val="315ADAE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2CC67082"/>
    <w:multiLevelType w:val="hybridMultilevel"/>
    <w:tmpl w:val="B5ECB7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54424DF"/>
    <w:multiLevelType w:val="hybridMultilevel"/>
    <w:tmpl w:val="5F2C8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68113A"/>
    <w:multiLevelType w:val="hybridMultilevel"/>
    <w:tmpl w:val="22F6A2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356F1BED"/>
    <w:multiLevelType w:val="multilevel"/>
    <w:tmpl w:val="0F1E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DA1FAF"/>
    <w:multiLevelType w:val="hybridMultilevel"/>
    <w:tmpl w:val="86CCA11A"/>
    <w:lvl w:ilvl="0" w:tplc="AC62CA9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980A35"/>
    <w:multiLevelType w:val="multilevel"/>
    <w:tmpl w:val="9C8A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686F95"/>
    <w:multiLevelType w:val="hybridMultilevel"/>
    <w:tmpl w:val="F5DECC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EDC2CDB"/>
    <w:multiLevelType w:val="multilevel"/>
    <w:tmpl w:val="02C6D0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8" w15:restartNumberingAfterBreak="0">
    <w:nsid w:val="41D25FC1"/>
    <w:multiLevelType w:val="hybridMultilevel"/>
    <w:tmpl w:val="2EBEBE42"/>
    <w:lvl w:ilvl="0" w:tplc="0FF8110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402EBA"/>
    <w:multiLevelType w:val="hybridMultilevel"/>
    <w:tmpl w:val="BA281ACE"/>
    <w:lvl w:ilvl="0" w:tplc="27D693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4651A2"/>
    <w:multiLevelType w:val="hybridMultilevel"/>
    <w:tmpl w:val="07440F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4DDB0C46"/>
    <w:multiLevelType w:val="hybridMultilevel"/>
    <w:tmpl w:val="29CCF088"/>
    <w:lvl w:ilvl="0" w:tplc="FFFFFFFF">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1C775EE"/>
    <w:multiLevelType w:val="hybridMultilevel"/>
    <w:tmpl w:val="1098010A"/>
    <w:lvl w:ilvl="0" w:tplc="CD246A78">
      <w:start w:val="1"/>
      <w:numFmt w:val="decimal"/>
      <w:lvlText w:val="(%1)"/>
      <w:lvlJc w:val="left"/>
      <w:pPr>
        <w:ind w:left="720" w:hanging="360"/>
      </w:pPr>
      <w:rPr>
        <w:rFonts w:ascii="Times New Roman" w:eastAsia="Times New Roman" w:hAnsi="Times New Roman" w:cs="Times New Roman"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1224A5"/>
    <w:multiLevelType w:val="hybridMultilevel"/>
    <w:tmpl w:val="FEF0D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6485418"/>
    <w:multiLevelType w:val="hybridMultilevel"/>
    <w:tmpl w:val="840E6B56"/>
    <w:lvl w:ilvl="0" w:tplc="E744C842">
      <w:start w:val="1"/>
      <w:numFmt w:val="lowerLetter"/>
      <w:lvlText w:val="(%1)"/>
      <w:lvlJc w:val="left"/>
      <w:pPr>
        <w:ind w:left="360" w:hanging="360"/>
      </w:pPr>
      <w:rPr>
        <w:rFonts w:hint="default"/>
      </w:rPr>
    </w:lvl>
    <w:lvl w:ilvl="1" w:tplc="50A2C2C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87F5141"/>
    <w:multiLevelType w:val="hybridMultilevel"/>
    <w:tmpl w:val="E12E1F30"/>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6" w15:restartNumberingAfterBreak="0">
    <w:nsid w:val="5B465F4E"/>
    <w:multiLevelType w:val="hybridMultilevel"/>
    <w:tmpl w:val="10FC06FC"/>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5F0642C3"/>
    <w:multiLevelType w:val="hybridMultilevel"/>
    <w:tmpl w:val="DA3CADFC"/>
    <w:lvl w:ilvl="0" w:tplc="5F7ED97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D2252D"/>
    <w:multiLevelType w:val="hybridMultilevel"/>
    <w:tmpl w:val="DC92597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6134658A"/>
    <w:multiLevelType w:val="hybridMultilevel"/>
    <w:tmpl w:val="7C0E90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2966680"/>
    <w:multiLevelType w:val="hybridMultilevel"/>
    <w:tmpl w:val="F7FE83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 w15:restartNumberingAfterBreak="0">
    <w:nsid w:val="68DD2B88"/>
    <w:multiLevelType w:val="hybridMultilevel"/>
    <w:tmpl w:val="8CDE8E96"/>
    <w:lvl w:ilvl="0" w:tplc="058C0D38">
      <w:start w:val="3"/>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692A4858"/>
    <w:multiLevelType w:val="hybridMultilevel"/>
    <w:tmpl w:val="4CFC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0E7371"/>
    <w:multiLevelType w:val="hybridMultilevel"/>
    <w:tmpl w:val="EF80C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724C211C"/>
    <w:multiLevelType w:val="hybridMultilevel"/>
    <w:tmpl w:val="5276E8BC"/>
    <w:lvl w:ilvl="0" w:tplc="E2A8F910">
      <w:numFmt w:val="bullet"/>
      <w:lvlText w:val=""/>
      <w:lvlJc w:val="left"/>
      <w:pPr>
        <w:ind w:left="2160" w:hanging="360"/>
      </w:pPr>
      <w:rPr>
        <w:rFonts w:ascii="Symbol" w:eastAsia="Times New Roman"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74B50518"/>
    <w:multiLevelType w:val="hybridMultilevel"/>
    <w:tmpl w:val="14B262B4"/>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5A21D87"/>
    <w:multiLevelType w:val="hybridMultilevel"/>
    <w:tmpl w:val="D9A2C5A2"/>
    <w:lvl w:ilvl="0" w:tplc="04090001">
      <w:start w:val="1"/>
      <w:numFmt w:val="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57" w15:restartNumberingAfterBreak="0">
    <w:nsid w:val="76ED27D6"/>
    <w:multiLevelType w:val="hybridMultilevel"/>
    <w:tmpl w:val="EEEEB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A4C158E"/>
    <w:multiLevelType w:val="hybridMultilevel"/>
    <w:tmpl w:val="5B320D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9" w15:restartNumberingAfterBreak="0">
    <w:nsid w:val="7AFC72E7"/>
    <w:multiLevelType w:val="hybridMultilevel"/>
    <w:tmpl w:val="CC4C0F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C977920"/>
    <w:multiLevelType w:val="hybridMultilevel"/>
    <w:tmpl w:val="148CBF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1" w15:restartNumberingAfterBreak="0">
    <w:nsid w:val="7CCF6DD3"/>
    <w:multiLevelType w:val="hybridMultilevel"/>
    <w:tmpl w:val="1F9A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5C7FB1"/>
    <w:multiLevelType w:val="hybridMultilevel"/>
    <w:tmpl w:val="0B1440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7F5C4B36"/>
    <w:multiLevelType w:val="hybridMultilevel"/>
    <w:tmpl w:val="13F64A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68800299">
    <w:abstractNumId w:val="22"/>
  </w:num>
  <w:num w:numId="2" w16cid:durableId="463696369">
    <w:abstractNumId w:val="54"/>
  </w:num>
  <w:num w:numId="3" w16cid:durableId="603418199">
    <w:abstractNumId w:val="50"/>
  </w:num>
  <w:num w:numId="4" w16cid:durableId="717514628">
    <w:abstractNumId w:val="60"/>
  </w:num>
  <w:num w:numId="5" w16cid:durableId="1923834049">
    <w:abstractNumId w:val="18"/>
  </w:num>
  <w:num w:numId="6" w16cid:durableId="166528396">
    <w:abstractNumId w:val="6"/>
  </w:num>
  <w:num w:numId="7" w16cid:durableId="648511335">
    <w:abstractNumId w:val="31"/>
  </w:num>
  <w:num w:numId="8" w16cid:durableId="240337666">
    <w:abstractNumId w:val="42"/>
  </w:num>
  <w:num w:numId="9" w16cid:durableId="1761094897">
    <w:abstractNumId w:val="12"/>
  </w:num>
  <w:num w:numId="10" w16cid:durableId="1348680931">
    <w:abstractNumId w:val="5"/>
  </w:num>
  <w:num w:numId="11" w16cid:durableId="199248911">
    <w:abstractNumId w:val="41"/>
  </w:num>
  <w:num w:numId="12" w16cid:durableId="212234060">
    <w:abstractNumId w:val="63"/>
  </w:num>
  <w:num w:numId="13" w16cid:durableId="224491515">
    <w:abstractNumId w:val="28"/>
  </w:num>
  <w:num w:numId="14" w16cid:durableId="437721845">
    <w:abstractNumId w:val="47"/>
  </w:num>
  <w:num w:numId="15" w16cid:durableId="1213620183">
    <w:abstractNumId w:val="29"/>
  </w:num>
  <w:num w:numId="16" w16cid:durableId="1926567310">
    <w:abstractNumId w:val="48"/>
  </w:num>
  <w:num w:numId="17" w16cid:durableId="259409149">
    <w:abstractNumId w:val="46"/>
  </w:num>
  <w:num w:numId="18" w16cid:durableId="1784181252">
    <w:abstractNumId w:val="55"/>
  </w:num>
  <w:num w:numId="19" w16cid:durableId="241255941">
    <w:abstractNumId w:val="3"/>
  </w:num>
  <w:num w:numId="20" w16cid:durableId="547689771">
    <w:abstractNumId w:val="34"/>
  </w:num>
  <w:num w:numId="21" w16cid:durableId="2033142752">
    <w:abstractNumId w:val="19"/>
  </w:num>
  <w:num w:numId="22" w16cid:durableId="890188646">
    <w:abstractNumId w:val="58"/>
  </w:num>
  <w:num w:numId="23" w16cid:durableId="2145923470">
    <w:abstractNumId w:val="24"/>
  </w:num>
  <w:num w:numId="24" w16cid:durableId="1066949552">
    <w:abstractNumId w:val="25"/>
  </w:num>
  <w:num w:numId="25" w16cid:durableId="285279694">
    <w:abstractNumId w:val="37"/>
  </w:num>
  <w:num w:numId="26" w16cid:durableId="1343967653">
    <w:abstractNumId w:val="26"/>
  </w:num>
  <w:num w:numId="27" w16cid:durableId="1193809489">
    <w:abstractNumId w:val="35"/>
  </w:num>
  <w:num w:numId="28" w16cid:durableId="734396880">
    <w:abstractNumId w:val="33"/>
  </w:num>
  <w:num w:numId="29" w16cid:durableId="1841236418">
    <w:abstractNumId w:val="61"/>
  </w:num>
  <w:num w:numId="30" w16cid:durableId="1998267969">
    <w:abstractNumId w:val="43"/>
  </w:num>
  <w:num w:numId="31" w16cid:durableId="59520774">
    <w:abstractNumId w:val="14"/>
  </w:num>
  <w:num w:numId="32" w16cid:durableId="1480994599">
    <w:abstractNumId w:val="13"/>
  </w:num>
  <w:num w:numId="33" w16cid:durableId="596671954">
    <w:abstractNumId w:val="32"/>
  </w:num>
  <w:num w:numId="34" w16cid:durableId="1356077123">
    <w:abstractNumId w:val="52"/>
  </w:num>
  <w:num w:numId="35" w16cid:durableId="1030187982">
    <w:abstractNumId w:val="0"/>
  </w:num>
  <w:num w:numId="36" w16cid:durableId="439689197">
    <w:abstractNumId w:val="59"/>
  </w:num>
  <w:num w:numId="37" w16cid:durableId="1493330642">
    <w:abstractNumId w:val="45"/>
  </w:num>
  <w:num w:numId="38" w16cid:durableId="1942839806">
    <w:abstractNumId w:val="4"/>
  </w:num>
  <w:num w:numId="39" w16cid:durableId="303779668">
    <w:abstractNumId w:val="1"/>
  </w:num>
  <w:num w:numId="40" w16cid:durableId="770860380">
    <w:abstractNumId w:val="36"/>
  </w:num>
  <w:num w:numId="41" w16cid:durableId="1618828874">
    <w:abstractNumId w:val="56"/>
  </w:num>
  <w:num w:numId="42" w16cid:durableId="1403259087">
    <w:abstractNumId w:val="10"/>
  </w:num>
  <w:num w:numId="43" w16cid:durableId="36393421">
    <w:abstractNumId w:val="53"/>
  </w:num>
  <w:num w:numId="44" w16cid:durableId="442499271">
    <w:abstractNumId w:val="57"/>
  </w:num>
  <w:num w:numId="45" w16cid:durableId="839465614">
    <w:abstractNumId w:val="17"/>
  </w:num>
  <w:num w:numId="46" w16cid:durableId="1635410552">
    <w:abstractNumId w:val="49"/>
  </w:num>
  <w:num w:numId="47" w16cid:durableId="554121523">
    <w:abstractNumId w:val="7"/>
  </w:num>
  <w:num w:numId="48" w16cid:durableId="537595390">
    <w:abstractNumId w:val="62"/>
  </w:num>
  <w:num w:numId="49" w16cid:durableId="569270542">
    <w:abstractNumId w:val="23"/>
  </w:num>
  <w:num w:numId="50" w16cid:durableId="914978063">
    <w:abstractNumId w:val="16"/>
  </w:num>
  <w:num w:numId="51" w16cid:durableId="1120218922">
    <w:abstractNumId w:val="30"/>
  </w:num>
  <w:num w:numId="52" w16cid:durableId="2042969359">
    <w:abstractNumId w:val="15"/>
  </w:num>
  <w:num w:numId="53" w16cid:durableId="185407637">
    <w:abstractNumId w:val="40"/>
  </w:num>
  <w:num w:numId="54" w16cid:durableId="2062287346">
    <w:abstractNumId w:val="44"/>
  </w:num>
  <w:num w:numId="55" w16cid:durableId="1831821542">
    <w:abstractNumId w:val="9"/>
  </w:num>
  <w:num w:numId="56" w16cid:durableId="1374814879">
    <w:abstractNumId w:val="38"/>
  </w:num>
  <w:num w:numId="57" w16cid:durableId="929046856">
    <w:abstractNumId w:val="2"/>
  </w:num>
  <w:num w:numId="58" w16cid:durableId="254293104">
    <w:abstractNumId w:val="20"/>
  </w:num>
  <w:num w:numId="59" w16cid:durableId="1699310590">
    <w:abstractNumId w:val="39"/>
  </w:num>
  <w:num w:numId="60" w16cid:durableId="1091123409">
    <w:abstractNumId w:val="51"/>
  </w:num>
  <w:num w:numId="61" w16cid:durableId="2020110925">
    <w:abstractNumId w:val="11"/>
  </w:num>
  <w:num w:numId="62" w16cid:durableId="1193180454">
    <w:abstractNumId w:val="27"/>
  </w:num>
  <w:num w:numId="63" w16cid:durableId="2029942006">
    <w:abstractNumId w:val="21"/>
  </w:num>
  <w:num w:numId="64" w16cid:durableId="188883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B7"/>
    <w:rsid w:val="00001695"/>
    <w:rsid w:val="00002ACD"/>
    <w:rsid w:val="00003009"/>
    <w:rsid w:val="00004031"/>
    <w:rsid w:val="000042B4"/>
    <w:rsid w:val="00004ED0"/>
    <w:rsid w:val="00005234"/>
    <w:rsid w:val="0001027C"/>
    <w:rsid w:val="00010696"/>
    <w:rsid w:val="00011175"/>
    <w:rsid w:val="00011FF4"/>
    <w:rsid w:val="00012181"/>
    <w:rsid w:val="00012935"/>
    <w:rsid w:val="0001403C"/>
    <w:rsid w:val="000149B2"/>
    <w:rsid w:val="00014D47"/>
    <w:rsid w:val="00017362"/>
    <w:rsid w:val="00017D0E"/>
    <w:rsid w:val="00017E05"/>
    <w:rsid w:val="00020527"/>
    <w:rsid w:val="00021A30"/>
    <w:rsid w:val="000225CB"/>
    <w:rsid w:val="00022E4A"/>
    <w:rsid w:val="00022EED"/>
    <w:rsid w:val="0002303A"/>
    <w:rsid w:val="000249CA"/>
    <w:rsid w:val="00027A61"/>
    <w:rsid w:val="00027AAF"/>
    <w:rsid w:val="00030DE2"/>
    <w:rsid w:val="00031BD4"/>
    <w:rsid w:val="00034A7C"/>
    <w:rsid w:val="0003558A"/>
    <w:rsid w:val="00035AFC"/>
    <w:rsid w:val="00040603"/>
    <w:rsid w:val="00040771"/>
    <w:rsid w:val="00040AB0"/>
    <w:rsid w:val="00040BED"/>
    <w:rsid w:val="0004153C"/>
    <w:rsid w:val="0004156B"/>
    <w:rsid w:val="00041FD6"/>
    <w:rsid w:val="00044419"/>
    <w:rsid w:val="00046640"/>
    <w:rsid w:val="0005036A"/>
    <w:rsid w:val="0005145B"/>
    <w:rsid w:val="00051564"/>
    <w:rsid w:val="00051D76"/>
    <w:rsid w:val="00051DE1"/>
    <w:rsid w:val="00051FBD"/>
    <w:rsid w:val="00052D4F"/>
    <w:rsid w:val="000531B2"/>
    <w:rsid w:val="000537AF"/>
    <w:rsid w:val="00054A76"/>
    <w:rsid w:val="00054CEF"/>
    <w:rsid w:val="0005578D"/>
    <w:rsid w:val="00055834"/>
    <w:rsid w:val="00055AC6"/>
    <w:rsid w:val="00056318"/>
    <w:rsid w:val="00056FE2"/>
    <w:rsid w:val="000570E0"/>
    <w:rsid w:val="00057BA4"/>
    <w:rsid w:val="000602BE"/>
    <w:rsid w:val="00060CBA"/>
    <w:rsid w:val="000614D3"/>
    <w:rsid w:val="00061689"/>
    <w:rsid w:val="00061A04"/>
    <w:rsid w:val="00061E86"/>
    <w:rsid w:val="0006468C"/>
    <w:rsid w:val="00064A59"/>
    <w:rsid w:val="00064A6D"/>
    <w:rsid w:val="00067F2C"/>
    <w:rsid w:val="00070CC3"/>
    <w:rsid w:val="00071BE1"/>
    <w:rsid w:val="00073751"/>
    <w:rsid w:val="000759AE"/>
    <w:rsid w:val="00075C8D"/>
    <w:rsid w:val="00075E69"/>
    <w:rsid w:val="00076734"/>
    <w:rsid w:val="00077296"/>
    <w:rsid w:val="00077B7E"/>
    <w:rsid w:val="00077D4B"/>
    <w:rsid w:val="00081DE2"/>
    <w:rsid w:val="0008254D"/>
    <w:rsid w:val="0008364F"/>
    <w:rsid w:val="00083752"/>
    <w:rsid w:val="00083D3A"/>
    <w:rsid w:val="0008762E"/>
    <w:rsid w:val="00087A65"/>
    <w:rsid w:val="00087D4F"/>
    <w:rsid w:val="000902D4"/>
    <w:rsid w:val="000920DC"/>
    <w:rsid w:val="00092828"/>
    <w:rsid w:val="0009320F"/>
    <w:rsid w:val="00093409"/>
    <w:rsid w:val="00094B11"/>
    <w:rsid w:val="00095497"/>
    <w:rsid w:val="00096466"/>
    <w:rsid w:val="0009707B"/>
    <w:rsid w:val="000973A1"/>
    <w:rsid w:val="000973DB"/>
    <w:rsid w:val="000A0127"/>
    <w:rsid w:val="000A117E"/>
    <w:rsid w:val="000A120D"/>
    <w:rsid w:val="000A26A5"/>
    <w:rsid w:val="000A36C8"/>
    <w:rsid w:val="000A52B4"/>
    <w:rsid w:val="000A5397"/>
    <w:rsid w:val="000A626A"/>
    <w:rsid w:val="000A67B3"/>
    <w:rsid w:val="000A6AE0"/>
    <w:rsid w:val="000A7500"/>
    <w:rsid w:val="000B35A6"/>
    <w:rsid w:val="000B44B4"/>
    <w:rsid w:val="000B4FFF"/>
    <w:rsid w:val="000B5794"/>
    <w:rsid w:val="000B5D90"/>
    <w:rsid w:val="000B6300"/>
    <w:rsid w:val="000B63C4"/>
    <w:rsid w:val="000B6593"/>
    <w:rsid w:val="000B6952"/>
    <w:rsid w:val="000B7FDC"/>
    <w:rsid w:val="000C1384"/>
    <w:rsid w:val="000C491D"/>
    <w:rsid w:val="000C52F8"/>
    <w:rsid w:val="000C5AC4"/>
    <w:rsid w:val="000C6AF9"/>
    <w:rsid w:val="000D090B"/>
    <w:rsid w:val="000D0B01"/>
    <w:rsid w:val="000D0E63"/>
    <w:rsid w:val="000D2507"/>
    <w:rsid w:val="000D2ABF"/>
    <w:rsid w:val="000D3F06"/>
    <w:rsid w:val="000D4A81"/>
    <w:rsid w:val="000D52F0"/>
    <w:rsid w:val="000D5F23"/>
    <w:rsid w:val="000D60DE"/>
    <w:rsid w:val="000D6C86"/>
    <w:rsid w:val="000D7514"/>
    <w:rsid w:val="000D786F"/>
    <w:rsid w:val="000E01C5"/>
    <w:rsid w:val="000E0F86"/>
    <w:rsid w:val="000E1641"/>
    <w:rsid w:val="000E16CA"/>
    <w:rsid w:val="000E1E46"/>
    <w:rsid w:val="000E2358"/>
    <w:rsid w:val="000E25C3"/>
    <w:rsid w:val="000E2AB0"/>
    <w:rsid w:val="000E3447"/>
    <w:rsid w:val="000E378C"/>
    <w:rsid w:val="000E3910"/>
    <w:rsid w:val="000E43AD"/>
    <w:rsid w:val="000E5046"/>
    <w:rsid w:val="000E5212"/>
    <w:rsid w:val="000E6466"/>
    <w:rsid w:val="000E6AC8"/>
    <w:rsid w:val="000E7092"/>
    <w:rsid w:val="000F0281"/>
    <w:rsid w:val="000F1916"/>
    <w:rsid w:val="000F257C"/>
    <w:rsid w:val="000F287F"/>
    <w:rsid w:val="000F2CDC"/>
    <w:rsid w:val="000F32C7"/>
    <w:rsid w:val="000F35C6"/>
    <w:rsid w:val="000F49DB"/>
    <w:rsid w:val="000F5075"/>
    <w:rsid w:val="000F5B37"/>
    <w:rsid w:val="000F7490"/>
    <w:rsid w:val="000F7BC7"/>
    <w:rsid w:val="00100522"/>
    <w:rsid w:val="00101A47"/>
    <w:rsid w:val="0010217F"/>
    <w:rsid w:val="0010456E"/>
    <w:rsid w:val="001045D8"/>
    <w:rsid w:val="00105869"/>
    <w:rsid w:val="00105F7D"/>
    <w:rsid w:val="00106E3D"/>
    <w:rsid w:val="0010751E"/>
    <w:rsid w:val="00107578"/>
    <w:rsid w:val="001108A4"/>
    <w:rsid w:val="00111B8E"/>
    <w:rsid w:val="001120D2"/>
    <w:rsid w:val="00112D46"/>
    <w:rsid w:val="0011323A"/>
    <w:rsid w:val="001134DE"/>
    <w:rsid w:val="0011382B"/>
    <w:rsid w:val="00113E53"/>
    <w:rsid w:val="0011424B"/>
    <w:rsid w:val="00114858"/>
    <w:rsid w:val="00115101"/>
    <w:rsid w:val="00115E42"/>
    <w:rsid w:val="001167CB"/>
    <w:rsid w:val="00117209"/>
    <w:rsid w:val="00117585"/>
    <w:rsid w:val="00117607"/>
    <w:rsid w:val="00117EB6"/>
    <w:rsid w:val="00121620"/>
    <w:rsid w:val="00123126"/>
    <w:rsid w:val="00123861"/>
    <w:rsid w:val="00123C30"/>
    <w:rsid w:val="00123D5B"/>
    <w:rsid w:val="0012495D"/>
    <w:rsid w:val="001249D9"/>
    <w:rsid w:val="00124D91"/>
    <w:rsid w:val="00124E88"/>
    <w:rsid w:val="00126380"/>
    <w:rsid w:val="00127320"/>
    <w:rsid w:val="00127F40"/>
    <w:rsid w:val="00127F55"/>
    <w:rsid w:val="0013003A"/>
    <w:rsid w:val="00130202"/>
    <w:rsid w:val="00130AAD"/>
    <w:rsid w:val="00130F48"/>
    <w:rsid w:val="001317A8"/>
    <w:rsid w:val="00132B19"/>
    <w:rsid w:val="0013350B"/>
    <w:rsid w:val="0013394E"/>
    <w:rsid w:val="00133EAD"/>
    <w:rsid w:val="001362CF"/>
    <w:rsid w:val="0013718C"/>
    <w:rsid w:val="00137F3B"/>
    <w:rsid w:val="00141B2C"/>
    <w:rsid w:val="00141C05"/>
    <w:rsid w:val="001422BE"/>
    <w:rsid w:val="00142F6D"/>
    <w:rsid w:val="00143713"/>
    <w:rsid w:val="00144144"/>
    <w:rsid w:val="0014437F"/>
    <w:rsid w:val="00144380"/>
    <w:rsid w:val="00146A0A"/>
    <w:rsid w:val="0014779B"/>
    <w:rsid w:val="00150B1E"/>
    <w:rsid w:val="00150E69"/>
    <w:rsid w:val="00151009"/>
    <w:rsid w:val="0015127C"/>
    <w:rsid w:val="001512C8"/>
    <w:rsid w:val="001522DC"/>
    <w:rsid w:val="0015285B"/>
    <w:rsid w:val="00154025"/>
    <w:rsid w:val="001544CB"/>
    <w:rsid w:val="00154593"/>
    <w:rsid w:val="001545A5"/>
    <w:rsid w:val="00154BFC"/>
    <w:rsid w:val="00154C8C"/>
    <w:rsid w:val="00155B4C"/>
    <w:rsid w:val="00163082"/>
    <w:rsid w:val="0016598F"/>
    <w:rsid w:val="00167740"/>
    <w:rsid w:val="00167E61"/>
    <w:rsid w:val="00171202"/>
    <w:rsid w:val="0017213A"/>
    <w:rsid w:val="00173DCD"/>
    <w:rsid w:val="001746D6"/>
    <w:rsid w:val="0017502B"/>
    <w:rsid w:val="001753C8"/>
    <w:rsid w:val="00175976"/>
    <w:rsid w:val="001761FE"/>
    <w:rsid w:val="00176710"/>
    <w:rsid w:val="001767B5"/>
    <w:rsid w:val="00177C1F"/>
    <w:rsid w:val="00181BB4"/>
    <w:rsid w:val="0018222A"/>
    <w:rsid w:val="00182DD6"/>
    <w:rsid w:val="00183777"/>
    <w:rsid w:val="00184280"/>
    <w:rsid w:val="00184F7B"/>
    <w:rsid w:val="00187C8C"/>
    <w:rsid w:val="00187FDB"/>
    <w:rsid w:val="0019010D"/>
    <w:rsid w:val="00190E09"/>
    <w:rsid w:val="001915E7"/>
    <w:rsid w:val="00191969"/>
    <w:rsid w:val="00192395"/>
    <w:rsid w:val="001923F0"/>
    <w:rsid w:val="00193A08"/>
    <w:rsid w:val="00193B64"/>
    <w:rsid w:val="001960FC"/>
    <w:rsid w:val="001966FC"/>
    <w:rsid w:val="001A082A"/>
    <w:rsid w:val="001A1BA4"/>
    <w:rsid w:val="001A2088"/>
    <w:rsid w:val="001A2D41"/>
    <w:rsid w:val="001A411D"/>
    <w:rsid w:val="001A4711"/>
    <w:rsid w:val="001A4BC2"/>
    <w:rsid w:val="001A54E0"/>
    <w:rsid w:val="001A7967"/>
    <w:rsid w:val="001A7F36"/>
    <w:rsid w:val="001B0B20"/>
    <w:rsid w:val="001B0C77"/>
    <w:rsid w:val="001B267D"/>
    <w:rsid w:val="001B2B92"/>
    <w:rsid w:val="001B3863"/>
    <w:rsid w:val="001B4967"/>
    <w:rsid w:val="001B69E1"/>
    <w:rsid w:val="001B6B27"/>
    <w:rsid w:val="001B6C02"/>
    <w:rsid w:val="001C008F"/>
    <w:rsid w:val="001C00F2"/>
    <w:rsid w:val="001C0633"/>
    <w:rsid w:val="001C0B2C"/>
    <w:rsid w:val="001C16EB"/>
    <w:rsid w:val="001C187C"/>
    <w:rsid w:val="001C1B79"/>
    <w:rsid w:val="001C344F"/>
    <w:rsid w:val="001C3662"/>
    <w:rsid w:val="001C498F"/>
    <w:rsid w:val="001C4D4C"/>
    <w:rsid w:val="001C5144"/>
    <w:rsid w:val="001C5A29"/>
    <w:rsid w:val="001C5AA3"/>
    <w:rsid w:val="001C6002"/>
    <w:rsid w:val="001C6B99"/>
    <w:rsid w:val="001D10CB"/>
    <w:rsid w:val="001D20D9"/>
    <w:rsid w:val="001D3273"/>
    <w:rsid w:val="001D348C"/>
    <w:rsid w:val="001D3610"/>
    <w:rsid w:val="001D3C56"/>
    <w:rsid w:val="001D422C"/>
    <w:rsid w:val="001D453D"/>
    <w:rsid w:val="001D4A41"/>
    <w:rsid w:val="001D55C3"/>
    <w:rsid w:val="001D5A0E"/>
    <w:rsid w:val="001D6A62"/>
    <w:rsid w:val="001E0BF1"/>
    <w:rsid w:val="001E12FA"/>
    <w:rsid w:val="001E1B13"/>
    <w:rsid w:val="001E222D"/>
    <w:rsid w:val="001E30AD"/>
    <w:rsid w:val="001E3C69"/>
    <w:rsid w:val="001E42B6"/>
    <w:rsid w:val="001E4838"/>
    <w:rsid w:val="001E4C72"/>
    <w:rsid w:val="001E507E"/>
    <w:rsid w:val="001E53CD"/>
    <w:rsid w:val="001E69AC"/>
    <w:rsid w:val="001F0570"/>
    <w:rsid w:val="001F0621"/>
    <w:rsid w:val="001F0D8B"/>
    <w:rsid w:val="001F2071"/>
    <w:rsid w:val="001F25E7"/>
    <w:rsid w:val="001F334A"/>
    <w:rsid w:val="001F4354"/>
    <w:rsid w:val="001F5AF7"/>
    <w:rsid w:val="001F7519"/>
    <w:rsid w:val="002017D2"/>
    <w:rsid w:val="00201D18"/>
    <w:rsid w:val="00202F95"/>
    <w:rsid w:val="00203188"/>
    <w:rsid w:val="0020396D"/>
    <w:rsid w:val="00203BE1"/>
    <w:rsid w:val="0020442B"/>
    <w:rsid w:val="002077F2"/>
    <w:rsid w:val="002077F4"/>
    <w:rsid w:val="00210187"/>
    <w:rsid w:val="0021056D"/>
    <w:rsid w:val="0021073C"/>
    <w:rsid w:val="00211E4C"/>
    <w:rsid w:val="00212D72"/>
    <w:rsid w:val="00213C6B"/>
    <w:rsid w:val="00214773"/>
    <w:rsid w:val="00214E2C"/>
    <w:rsid w:val="00215473"/>
    <w:rsid w:val="00220002"/>
    <w:rsid w:val="0022034A"/>
    <w:rsid w:val="00220E6E"/>
    <w:rsid w:val="00221184"/>
    <w:rsid w:val="00221606"/>
    <w:rsid w:val="002216BA"/>
    <w:rsid w:val="00221B3E"/>
    <w:rsid w:val="00221D73"/>
    <w:rsid w:val="00221D84"/>
    <w:rsid w:val="00222E13"/>
    <w:rsid w:val="00222ED6"/>
    <w:rsid w:val="00223394"/>
    <w:rsid w:val="002237B8"/>
    <w:rsid w:val="00225563"/>
    <w:rsid w:val="002256BE"/>
    <w:rsid w:val="00225AA5"/>
    <w:rsid w:val="002265AB"/>
    <w:rsid w:val="002269C4"/>
    <w:rsid w:val="00226EC7"/>
    <w:rsid w:val="002272AC"/>
    <w:rsid w:val="00227CD7"/>
    <w:rsid w:val="0023026F"/>
    <w:rsid w:val="00230A31"/>
    <w:rsid w:val="00230E86"/>
    <w:rsid w:val="002310B5"/>
    <w:rsid w:val="00232183"/>
    <w:rsid w:val="0023416A"/>
    <w:rsid w:val="0023467F"/>
    <w:rsid w:val="00234E9D"/>
    <w:rsid w:val="00236731"/>
    <w:rsid w:val="00236D18"/>
    <w:rsid w:val="00237138"/>
    <w:rsid w:val="00237277"/>
    <w:rsid w:val="00237784"/>
    <w:rsid w:val="002377CF"/>
    <w:rsid w:val="00237DD8"/>
    <w:rsid w:val="0024090E"/>
    <w:rsid w:val="002418E8"/>
    <w:rsid w:val="00242195"/>
    <w:rsid w:val="00243B83"/>
    <w:rsid w:val="002442B9"/>
    <w:rsid w:val="00244B15"/>
    <w:rsid w:val="00245544"/>
    <w:rsid w:val="002463E2"/>
    <w:rsid w:val="00246E7B"/>
    <w:rsid w:val="00247252"/>
    <w:rsid w:val="00247584"/>
    <w:rsid w:val="00250276"/>
    <w:rsid w:val="00250705"/>
    <w:rsid w:val="00250F35"/>
    <w:rsid w:val="002518FB"/>
    <w:rsid w:val="002521C7"/>
    <w:rsid w:val="0025352D"/>
    <w:rsid w:val="00253EC3"/>
    <w:rsid w:val="0025553D"/>
    <w:rsid w:val="002565B0"/>
    <w:rsid w:val="00256FE6"/>
    <w:rsid w:val="00257FA9"/>
    <w:rsid w:val="00261096"/>
    <w:rsid w:val="0026134E"/>
    <w:rsid w:val="00261B04"/>
    <w:rsid w:val="00262257"/>
    <w:rsid w:val="002639E0"/>
    <w:rsid w:val="00265256"/>
    <w:rsid w:val="00265DF4"/>
    <w:rsid w:val="00266756"/>
    <w:rsid w:val="002671FA"/>
    <w:rsid w:val="00267E37"/>
    <w:rsid w:val="002710C7"/>
    <w:rsid w:val="002719A6"/>
    <w:rsid w:val="0027212C"/>
    <w:rsid w:val="0027223C"/>
    <w:rsid w:val="00273873"/>
    <w:rsid w:val="00274AF8"/>
    <w:rsid w:val="00276D93"/>
    <w:rsid w:val="00277309"/>
    <w:rsid w:val="00280AD1"/>
    <w:rsid w:val="00281442"/>
    <w:rsid w:val="00284428"/>
    <w:rsid w:val="0028583B"/>
    <w:rsid w:val="002864F0"/>
    <w:rsid w:val="00287096"/>
    <w:rsid w:val="00287DF6"/>
    <w:rsid w:val="00290194"/>
    <w:rsid w:val="00290613"/>
    <w:rsid w:val="00290B2D"/>
    <w:rsid w:val="00291282"/>
    <w:rsid w:val="002931C3"/>
    <w:rsid w:val="00293C53"/>
    <w:rsid w:val="00294CA3"/>
    <w:rsid w:val="00295649"/>
    <w:rsid w:val="00296535"/>
    <w:rsid w:val="00296612"/>
    <w:rsid w:val="00296E46"/>
    <w:rsid w:val="00297356"/>
    <w:rsid w:val="00297745"/>
    <w:rsid w:val="00297BEE"/>
    <w:rsid w:val="002A06D3"/>
    <w:rsid w:val="002A1A16"/>
    <w:rsid w:val="002A1B0F"/>
    <w:rsid w:val="002A2644"/>
    <w:rsid w:val="002A5430"/>
    <w:rsid w:val="002A5899"/>
    <w:rsid w:val="002A6548"/>
    <w:rsid w:val="002A70BA"/>
    <w:rsid w:val="002A725F"/>
    <w:rsid w:val="002B0ABA"/>
    <w:rsid w:val="002B13DE"/>
    <w:rsid w:val="002B1971"/>
    <w:rsid w:val="002B223B"/>
    <w:rsid w:val="002B2C88"/>
    <w:rsid w:val="002B331D"/>
    <w:rsid w:val="002C0145"/>
    <w:rsid w:val="002C0F80"/>
    <w:rsid w:val="002C2DB3"/>
    <w:rsid w:val="002C5405"/>
    <w:rsid w:val="002C631F"/>
    <w:rsid w:val="002C6BE1"/>
    <w:rsid w:val="002C7104"/>
    <w:rsid w:val="002D0ABC"/>
    <w:rsid w:val="002D1015"/>
    <w:rsid w:val="002D2E56"/>
    <w:rsid w:val="002D3080"/>
    <w:rsid w:val="002D37B5"/>
    <w:rsid w:val="002D3D44"/>
    <w:rsid w:val="002D4CA1"/>
    <w:rsid w:val="002D4CE8"/>
    <w:rsid w:val="002D5332"/>
    <w:rsid w:val="002D6663"/>
    <w:rsid w:val="002D682D"/>
    <w:rsid w:val="002E0A37"/>
    <w:rsid w:val="002E0CA9"/>
    <w:rsid w:val="002E0CB4"/>
    <w:rsid w:val="002E12F9"/>
    <w:rsid w:val="002E13F1"/>
    <w:rsid w:val="002E1641"/>
    <w:rsid w:val="002E2057"/>
    <w:rsid w:val="002E2FC2"/>
    <w:rsid w:val="002E3008"/>
    <w:rsid w:val="002E4C55"/>
    <w:rsid w:val="002E5662"/>
    <w:rsid w:val="002E59F7"/>
    <w:rsid w:val="002E638C"/>
    <w:rsid w:val="002E7624"/>
    <w:rsid w:val="002E7AEF"/>
    <w:rsid w:val="002F06BE"/>
    <w:rsid w:val="002F0989"/>
    <w:rsid w:val="002F2DED"/>
    <w:rsid w:val="002F31AD"/>
    <w:rsid w:val="002F3589"/>
    <w:rsid w:val="002F4330"/>
    <w:rsid w:val="002F46B3"/>
    <w:rsid w:val="002F54C3"/>
    <w:rsid w:val="002F5E19"/>
    <w:rsid w:val="003005BC"/>
    <w:rsid w:val="00300E3D"/>
    <w:rsid w:val="00301E1A"/>
    <w:rsid w:val="00302B6D"/>
    <w:rsid w:val="00303B8C"/>
    <w:rsid w:val="003056FE"/>
    <w:rsid w:val="003059C0"/>
    <w:rsid w:val="0030624A"/>
    <w:rsid w:val="003065A2"/>
    <w:rsid w:val="0030676C"/>
    <w:rsid w:val="00306F59"/>
    <w:rsid w:val="00307535"/>
    <w:rsid w:val="0031103C"/>
    <w:rsid w:val="00311865"/>
    <w:rsid w:val="003118EE"/>
    <w:rsid w:val="00311A65"/>
    <w:rsid w:val="003124DA"/>
    <w:rsid w:val="00312E33"/>
    <w:rsid w:val="00312F2F"/>
    <w:rsid w:val="00314421"/>
    <w:rsid w:val="00315227"/>
    <w:rsid w:val="00315556"/>
    <w:rsid w:val="00315869"/>
    <w:rsid w:val="0031671E"/>
    <w:rsid w:val="00316B68"/>
    <w:rsid w:val="003174A0"/>
    <w:rsid w:val="00317936"/>
    <w:rsid w:val="003179E0"/>
    <w:rsid w:val="00317D43"/>
    <w:rsid w:val="003207E9"/>
    <w:rsid w:val="00320CA4"/>
    <w:rsid w:val="00320D85"/>
    <w:rsid w:val="003216BD"/>
    <w:rsid w:val="00321F1B"/>
    <w:rsid w:val="0032241A"/>
    <w:rsid w:val="00322798"/>
    <w:rsid w:val="003234D6"/>
    <w:rsid w:val="00324832"/>
    <w:rsid w:val="00324DC8"/>
    <w:rsid w:val="003264ED"/>
    <w:rsid w:val="00326D10"/>
    <w:rsid w:val="00327073"/>
    <w:rsid w:val="0033019F"/>
    <w:rsid w:val="00330399"/>
    <w:rsid w:val="00330473"/>
    <w:rsid w:val="00331A23"/>
    <w:rsid w:val="00331BC2"/>
    <w:rsid w:val="00331E83"/>
    <w:rsid w:val="0033264B"/>
    <w:rsid w:val="0033315C"/>
    <w:rsid w:val="0033359F"/>
    <w:rsid w:val="00334BEA"/>
    <w:rsid w:val="003354CB"/>
    <w:rsid w:val="00336729"/>
    <w:rsid w:val="00337445"/>
    <w:rsid w:val="00337803"/>
    <w:rsid w:val="00337DA2"/>
    <w:rsid w:val="003406E9"/>
    <w:rsid w:val="003412BC"/>
    <w:rsid w:val="00341AB0"/>
    <w:rsid w:val="00342BB6"/>
    <w:rsid w:val="00343599"/>
    <w:rsid w:val="00344D81"/>
    <w:rsid w:val="00344E2B"/>
    <w:rsid w:val="00345301"/>
    <w:rsid w:val="00345E27"/>
    <w:rsid w:val="0034697D"/>
    <w:rsid w:val="00347713"/>
    <w:rsid w:val="0034774B"/>
    <w:rsid w:val="0035194B"/>
    <w:rsid w:val="00352293"/>
    <w:rsid w:val="00352793"/>
    <w:rsid w:val="003527A8"/>
    <w:rsid w:val="003554F9"/>
    <w:rsid w:val="00355562"/>
    <w:rsid w:val="0035607E"/>
    <w:rsid w:val="00356486"/>
    <w:rsid w:val="00356522"/>
    <w:rsid w:val="003575F7"/>
    <w:rsid w:val="00360E1B"/>
    <w:rsid w:val="0036144F"/>
    <w:rsid w:val="00361C9E"/>
    <w:rsid w:val="00361FAF"/>
    <w:rsid w:val="00362DDA"/>
    <w:rsid w:val="00362EFF"/>
    <w:rsid w:val="003636EF"/>
    <w:rsid w:val="003640E3"/>
    <w:rsid w:val="00365828"/>
    <w:rsid w:val="0036606F"/>
    <w:rsid w:val="0036635E"/>
    <w:rsid w:val="00366A33"/>
    <w:rsid w:val="00371246"/>
    <w:rsid w:val="00371736"/>
    <w:rsid w:val="003717A4"/>
    <w:rsid w:val="00372739"/>
    <w:rsid w:val="00372B85"/>
    <w:rsid w:val="0037404E"/>
    <w:rsid w:val="003740BD"/>
    <w:rsid w:val="00374BDB"/>
    <w:rsid w:val="00375E05"/>
    <w:rsid w:val="00376FBE"/>
    <w:rsid w:val="00380197"/>
    <w:rsid w:val="0038077A"/>
    <w:rsid w:val="00381611"/>
    <w:rsid w:val="00381AB9"/>
    <w:rsid w:val="00381B54"/>
    <w:rsid w:val="0038254C"/>
    <w:rsid w:val="00383103"/>
    <w:rsid w:val="00386A73"/>
    <w:rsid w:val="00386F8D"/>
    <w:rsid w:val="0038744F"/>
    <w:rsid w:val="003877F2"/>
    <w:rsid w:val="0038795E"/>
    <w:rsid w:val="00387B57"/>
    <w:rsid w:val="00390429"/>
    <w:rsid w:val="003913C6"/>
    <w:rsid w:val="00391495"/>
    <w:rsid w:val="0039186F"/>
    <w:rsid w:val="00392E44"/>
    <w:rsid w:val="003940F0"/>
    <w:rsid w:val="00395398"/>
    <w:rsid w:val="003954AD"/>
    <w:rsid w:val="00395754"/>
    <w:rsid w:val="003962E0"/>
    <w:rsid w:val="00396A3C"/>
    <w:rsid w:val="003970AD"/>
    <w:rsid w:val="00397643"/>
    <w:rsid w:val="00397C3F"/>
    <w:rsid w:val="00397D8A"/>
    <w:rsid w:val="003A0C1C"/>
    <w:rsid w:val="003A152A"/>
    <w:rsid w:val="003A2573"/>
    <w:rsid w:val="003A4A7B"/>
    <w:rsid w:val="003A61F8"/>
    <w:rsid w:val="003A6834"/>
    <w:rsid w:val="003A6E26"/>
    <w:rsid w:val="003A70E3"/>
    <w:rsid w:val="003A7FBD"/>
    <w:rsid w:val="003B0A13"/>
    <w:rsid w:val="003B0E6C"/>
    <w:rsid w:val="003B20B2"/>
    <w:rsid w:val="003B2464"/>
    <w:rsid w:val="003B2D21"/>
    <w:rsid w:val="003B3451"/>
    <w:rsid w:val="003B37F0"/>
    <w:rsid w:val="003B3DB2"/>
    <w:rsid w:val="003B5324"/>
    <w:rsid w:val="003B5B6B"/>
    <w:rsid w:val="003B6C0C"/>
    <w:rsid w:val="003C0165"/>
    <w:rsid w:val="003C1B49"/>
    <w:rsid w:val="003C2F99"/>
    <w:rsid w:val="003C3800"/>
    <w:rsid w:val="003C3E26"/>
    <w:rsid w:val="003C4150"/>
    <w:rsid w:val="003C44D7"/>
    <w:rsid w:val="003C45D8"/>
    <w:rsid w:val="003C48B3"/>
    <w:rsid w:val="003C5587"/>
    <w:rsid w:val="003C58AB"/>
    <w:rsid w:val="003C5BE3"/>
    <w:rsid w:val="003C74DD"/>
    <w:rsid w:val="003C7F35"/>
    <w:rsid w:val="003D000C"/>
    <w:rsid w:val="003D0346"/>
    <w:rsid w:val="003D0594"/>
    <w:rsid w:val="003D0A91"/>
    <w:rsid w:val="003D1277"/>
    <w:rsid w:val="003D4126"/>
    <w:rsid w:val="003D42E0"/>
    <w:rsid w:val="003D4C46"/>
    <w:rsid w:val="003D6C2C"/>
    <w:rsid w:val="003D6C9A"/>
    <w:rsid w:val="003D6D15"/>
    <w:rsid w:val="003E19E0"/>
    <w:rsid w:val="003E2149"/>
    <w:rsid w:val="003E24F0"/>
    <w:rsid w:val="003E27BC"/>
    <w:rsid w:val="003E39E8"/>
    <w:rsid w:val="003E4709"/>
    <w:rsid w:val="003E5841"/>
    <w:rsid w:val="003E5977"/>
    <w:rsid w:val="003E5BCD"/>
    <w:rsid w:val="003E633F"/>
    <w:rsid w:val="003E66B0"/>
    <w:rsid w:val="003E69F6"/>
    <w:rsid w:val="003E7390"/>
    <w:rsid w:val="003F004C"/>
    <w:rsid w:val="003F02B5"/>
    <w:rsid w:val="003F039F"/>
    <w:rsid w:val="003F0B50"/>
    <w:rsid w:val="003F24C0"/>
    <w:rsid w:val="003F2ACC"/>
    <w:rsid w:val="003F326F"/>
    <w:rsid w:val="003F3D32"/>
    <w:rsid w:val="003F473F"/>
    <w:rsid w:val="003F4987"/>
    <w:rsid w:val="003F73ED"/>
    <w:rsid w:val="003FBCC6"/>
    <w:rsid w:val="004007E2"/>
    <w:rsid w:val="00400D5A"/>
    <w:rsid w:val="0040292F"/>
    <w:rsid w:val="00403587"/>
    <w:rsid w:val="0040617A"/>
    <w:rsid w:val="0040643C"/>
    <w:rsid w:val="00407CC4"/>
    <w:rsid w:val="00407EDF"/>
    <w:rsid w:val="00410550"/>
    <w:rsid w:val="00411547"/>
    <w:rsid w:val="00412184"/>
    <w:rsid w:val="004124EE"/>
    <w:rsid w:val="00413320"/>
    <w:rsid w:val="00413EC1"/>
    <w:rsid w:val="00414AE3"/>
    <w:rsid w:val="00416DB5"/>
    <w:rsid w:val="00416DC6"/>
    <w:rsid w:val="00417098"/>
    <w:rsid w:val="004170D3"/>
    <w:rsid w:val="00420930"/>
    <w:rsid w:val="00420A3B"/>
    <w:rsid w:val="00420C30"/>
    <w:rsid w:val="00421847"/>
    <w:rsid w:val="00422CA5"/>
    <w:rsid w:val="004236F5"/>
    <w:rsid w:val="0042434E"/>
    <w:rsid w:val="00425C10"/>
    <w:rsid w:val="00426177"/>
    <w:rsid w:val="00426C30"/>
    <w:rsid w:val="00427415"/>
    <w:rsid w:val="00427FC6"/>
    <w:rsid w:val="0043105C"/>
    <w:rsid w:val="00431221"/>
    <w:rsid w:val="004313F6"/>
    <w:rsid w:val="0043141E"/>
    <w:rsid w:val="00431837"/>
    <w:rsid w:val="0043251A"/>
    <w:rsid w:val="00432533"/>
    <w:rsid w:val="0043360F"/>
    <w:rsid w:val="00433A38"/>
    <w:rsid w:val="00434B54"/>
    <w:rsid w:val="00434CF4"/>
    <w:rsid w:val="0043583E"/>
    <w:rsid w:val="004379D3"/>
    <w:rsid w:val="004405D4"/>
    <w:rsid w:val="00440F16"/>
    <w:rsid w:val="0044285F"/>
    <w:rsid w:val="0044313A"/>
    <w:rsid w:val="004431C3"/>
    <w:rsid w:val="00445149"/>
    <w:rsid w:val="0044535A"/>
    <w:rsid w:val="004464D3"/>
    <w:rsid w:val="00446926"/>
    <w:rsid w:val="00451C3A"/>
    <w:rsid w:val="00453E2B"/>
    <w:rsid w:val="00454087"/>
    <w:rsid w:val="004542DB"/>
    <w:rsid w:val="00454861"/>
    <w:rsid w:val="0045509B"/>
    <w:rsid w:val="0045547E"/>
    <w:rsid w:val="00456542"/>
    <w:rsid w:val="00457000"/>
    <w:rsid w:val="00457A4F"/>
    <w:rsid w:val="00457FA5"/>
    <w:rsid w:val="004602DE"/>
    <w:rsid w:val="004608AE"/>
    <w:rsid w:val="00460BC8"/>
    <w:rsid w:val="004620D1"/>
    <w:rsid w:val="00463A0D"/>
    <w:rsid w:val="00464A86"/>
    <w:rsid w:val="00464B20"/>
    <w:rsid w:val="00467842"/>
    <w:rsid w:val="00467DDD"/>
    <w:rsid w:val="0047267E"/>
    <w:rsid w:val="00472AE0"/>
    <w:rsid w:val="00473D41"/>
    <w:rsid w:val="0047478A"/>
    <w:rsid w:val="00474CD6"/>
    <w:rsid w:val="004757DE"/>
    <w:rsid w:val="004767C6"/>
    <w:rsid w:val="00476DC0"/>
    <w:rsid w:val="00477BCE"/>
    <w:rsid w:val="00480881"/>
    <w:rsid w:val="00481389"/>
    <w:rsid w:val="00481DAE"/>
    <w:rsid w:val="004825E4"/>
    <w:rsid w:val="00482A66"/>
    <w:rsid w:val="00483FFF"/>
    <w:rsid w:val="004841BB"/>
    <w:rsid w:val="0048473B"/>
    <w:rsid w:val="004847D1"/>
    <w:rsid w:val="004853A5"/>
    <w:rsid w:val="0048596A"/>
    <w:rsid w:val="0048773B"/>
    <w:rsid w:val="00487ACE"/>
    <w:rsid w:val="00490588"/>
    <w:rsid w:val="00490815"/>
    <w:rsid w:val="004919D2"/>
    <w:rsid w:val="00493A05"/>
    <w:rsid w:val="00494D25"/>
    <w:rsid w:val="004966D8"/>
    <w:rsid w:val="00497523"/>
    <w:rsid w:val="004A2BAC"/>
    <w:rsid w:val="004A3C0F"/>
    <w:rsid w:val="004A3FF6"/>
    <w:rsid w:val="004A4404"/>
    <w:rsid w:val="004A44DD"/>
    <w:rsid w:val="004A4A5A"/>
    <w:rsid w:val="004A4E2A"/>
    <w:rsid w:val="004A553E"/>
    <w:rsid w:val="004B0D41"/>
    <w:rsid w:val="004B3A84"/>
    <w:rsid w:val="004B56B6"/>
    <w:rsid w:val="004B5D93"/>
    <w:rsid w:val="004B7010"/>
    <w:rsid w:val="004C1584"/>
    <w:rsid w:val="004C1CD1"/>
    <w:rsid w:val="004C1D97"/>
    <w:rsid w:val="004C319F"/>
    <w:rsid w:val="004C40C7"/>
    <w:rsid w:val="004C4556"/>
    <w:rsid w:val="004C51A6"/>
    <w:rsid w:val="004C5B19"/>
    <w:rsid w:val="004C5EC0"/>
    <w:rsid w:val="004C6992"/>
    <w:rsid w:val="004C69F7"/>
    <w:rsid w:val="004D0BF9"/>
    <w:rsid w:val="004D0C54"/>
    <w:rsid w:val="004D1D13"/>
    <w:rsid w:val="004D4036"/>
    <w:rsid w:val="004D4199"/>
    <w:rsid w:val="004D4D59"/>
    <w:rsid w:val="004D59D5"/>
    <w:rsid w:val="004D6BE5"/>
    <w:rsid w:val="004D6D98"/>
    <w:rsid w:val="004D70A3"/>
    <w:rsid w:val="004D7813"/>
    <w:rsid w:val="004D7B05"/>
    <w:rsid w:val="004E0C1E"/>
    <w:rsid w:val="004E0C9A"/>
    <w:rsid w:val="004E1420"/>
    <w:rsid w:val="004E1858"/>
    <w:rsid w:val="004E2861"/>
    <w:rsid w:val="004E2B00"/>
    <w:rsid w:val="004E3FA7"/>
    <w:rsid w:val="004E4732"/>
    <w:rsid w:val="004E4BEF"/>
    <w:rsid w:val="004E572A"/>
    <w:rsid w:val="004E6564"/>
    <w:rsid w:val="004E6DA4"/>
    <w:rsid w:val="004E7A19"/>
    <w:rsid w:val="004E7F98"/>
    <w:rsid w:val="004E7FCF"/>
    <w:rsid w:val="004F07E7"/>
    <w:rsid w:val="004F277B"/>
    <w:rsid w:val="004F3ABA"/>
    <w:rsid w:val="004F4918"/>
    <w:rsid w:val="004F4A19"/>
    <w:rsid w:val="004F51E2"/>
    <w:rsid w:val="004F76B9"/>
    <w:rsid w:val="00500321"/>
    <w:rsid w:val="00500783"/>
    <w:rsid w:val="00501782"/>
    <w:rsid w:val="005020C6"/>
    <w:rsid w:val="00502E92"/>
    <w:rsid w:val="00503563"/>
    <w:rsid w:val="00504944"/>
    <w:rsid w:val="00504DAE"/>
    <w:rsid w:val="00504E76"/>
    <w:rsid w:val="005072FB"/>
    <w:rsid w:val="00507333"/>
    <w:rsid w:val="005116C9"/>
    <w:rsid w:val="005122EE"/>
    <w:rsid w:val="005126A9"/>
    <w:rsid w:val="0051273D"/>
    <w:rsid w:val="005131BF"/>
    <w:rsid w:val="00513D04"/>
    <w:rsid w:val="00513E11"/>
    <w:rsid w:val="00514313"/>
    <w:rsid w:val="0051468E"/>
    <w:rsid w:val="00514937"/>
    <w:rsid w:val="00514DFF"/>
    <w:rsid w:val="005154AF"/>
    <w:rsid w:val="00517043"/>
    <w:rsid w:val="0051710B"/>
    <w:rsid w:val="0051730E"/>
    <w:rsid w:val="00520AD5"/>
    <w:rsid w:val="005211AD"/>
    <w:rsid w:val="0052157C"/>
    <w:rsid w:val="0052247A"/>
    <w:rsid w:val="005251D1"/>
    <w:rsid w:val="00525AA5"/>
    <w:rsid w:val="00526336"/>
    <w:rsid w:val="00526F59"/>
    <w:rsid w:val="0052747E"/>
    <w:rsid w:val="005315BE"/>
    <w:rsid w:val="005320FC"/>
    <w:rsid w:val="0053241B"/>
    <w:rsid w:val="005325EB"/>
    <w:rsid w:val="00533918"/>
    <w:rsid w:val="00535164"/>
    <w:rsid w:val="00535D79"/>
    <w:rsid w:val="00536F4E"/>
    <w:rsid w:val="0053700E"/>
    <w:rsid w:val="005403E6"/>
    <w:rsid w:val="00540604"/>
    <w:rsid w:val="00541B29"/>
    <w:rsid w:val="00541ED6"/>
    <w:rsid w:val="00542ABE"/>
    <w:rsid w:val="00542E3C"/>
    <w:rsid w:val="005439E6"/>
    <w:rsid w:val="00543AC0"/>
    <w:rsid w:val="00543FA2"/>
    <w:rsid w:val="0054470E"/>
    <w:rsid w:val="0054566B"/>
    <w:rsid w:val="00546D8C"/>
    <w:rsid w:val="005512C1"/>
    <w:rsid w:val="0055181C"/>
    <w:rsid w:val="00551974"/>
    <w:rsid w:val="00551BC0"/>
    <w:rsid w:val="00552DF4"/>
    <w:rsid w:val="0055371B"/>
    <w:rsid w:val="00553D41"/>
    <w:rsid w:val="00555819"/>
    <w:rsid w:val="00555B60"/>
    <w:rsid w:val="0055682C"/>
    <w:rsid w:val="00556B30"/>
    <w:rsid w:val="00556D5B"/>
    <w:rsid w:val="005602F2"/>
    <w:rsid w:val="00561A19"/>
    <w:rsid w:val="00562512"/>
    <w:rsid w:val="0056520F"/>
    <w:rsid w:val="00565D35"/>
    <w:rsid w:val="005677AF"/>
    <w:rsid w:val="00567D25"/>
    <w:rsid w:val="005702FC"/>
    <w:rsid w:val="00570CA1"/>
    <w:rsid w:val="00571278"/>
    <w:rsid w:val="00571B5C"/>
    <w:rsid w:val="00572D6F"/>
    <w:rsid w:val="005740AF"/>
    <w:rsid w:val="0057636D"/>
    <w:rsid w:val="005766D3"/>
    <w:rsid w:val="00577C38"/>
    <w:rsid w:val="00581A72"/>
    <w:rsid w:val="00581D64"/>
    <w:rsid w:val="005827F3"/>
    <w:rsid w:val="0058415A"/>
    <w:rsid w:val="00584788"/>
    <w:rsid w:val="00584DEB"/>
    <w:rsid w:val="00584FB6"/>
    <w:rsid w:val="00585659"/>
    <w:rsid w:val="00586551"/>
    <w:rsid w:val="00586B4A"/>
    <w:rsid w:val="00590E73"/>
    <w:rsid w:val="005924F1"/>
    <w:rsid w:val="005929E4"/>
    <w:rsid w:val="00593D66"/>
    <w:rsid w:val="0059540A"/>
    <w:rsid w:val="005955AB"/>
    <w:rsid w:val="00596333"/>
    <w:rsid w:val="00597755"/>
    <w:rsid w:val="005A0CBB"/>
    <w:rsid w:val="005A0F30"/>
    <w:rsid w:val="005A21CA"/>
    <w:rsid w:val="005A2287"/>
    <w:rsid w:val="005A2B8D"/>
    <w:rsid w:val="005A346B"/>
    <w:rsid w:val="005A34EE"/>
    <w:rsid w:val="005A3545"/>
    <w:rsid w:val="005A3BE9"/>
    <w:rsid w:val="005A4502"/>
    <w:rsid w:val="005A5443"/>
    <w:rsid w:val="005A70C1"/>
    <w:rsid w:val="005A75ED"/>
    <w:rsid w:val="005A7816"/>
    <w:rsid w:val="005A7CBD"/>
    <w:rsid w:val="005A7F33"/>
    <w:rsid w:val="005B018E"/>
    <w:rsid w:val="005B096C"/>
    <w:rsid w:val="005B0DB9"/>
    <w:rsid w:val="005B28F0"/>
    <w:rsid w:val="005B3644"/>
    <w:rsid w:val="005B3B90"/>
    <w:rsid w:val="005B3CEC"/>
    <w:rsid w:val="005B5FEB"/>
    <w:rsid w:val="005B6B39"/>
    <w:rsid w:val="005B6D04"/>
    <w:rsid w:val="005B7A82"/>
    <w:rsid w:val="005B7F9F"/>
    <w:rsid w:val="005C0FDC"/>
    <w:rsid w:val="005C18FC"/>
    <w:rsid w:val="005C233C"/>
    <w:rsid w:val="005C288D"/>
    <w:rsid w:val="005C29EE"/>
    <w:rsid w:val="005C310B"/>
    <w:rsid w:val="005C39D7"/>
    <w:rsid w:val="005C3C95"/>
    <w:rsid w:val="005C500A"/>
    <w:rsid w:val="005C5884"/>
    <w:rsid w:val="005C65F3"/>
    <w:rsid w:val="005C714F"/>
    <w:rsid w:val="005C7D86"/>
    <w:rsid w:val="005D02A8"/>
    <w:rsid w:val="005D0841"/>
    <w:rsid w:val="005D1499"/>
    <w:rsid w:val="005D1F58"/>
    <w:rsid w:val="005D4023"/>
    <w:rsid w:val="005D4FC4"/>
    <w:rsid w:val="005E0BE3"/>
    <w:rsid w:val="005E0C60"/>
    <w:rsid w:val="005E1771"/>
    <w:rsid w:val="005E24CC"/>
    <w:rsid w:val="005E328D"/>
    <w:rsid w:val="005E34E3"/>
    <w:rsid w:val="005E521F"/>
    <w:rsid w:val="005E595E"/>
    <w:rsid w:val="005E63A5"/>
    <w:rsid w:val="005E7127"/>
    <w:rsid w:val="005E76D6"/>
    <w:rsid w:val="005F077B"/>
    <w:rsid w:val="005F0974"/>
    <w:rsid w:val="005F1B84"/>
    <w:rsid w:val="005F24B8"/>
    <w:rsid w:val="005F2992"/>
    <w:rsid w:val="005F36C9"/>
    <w:rsid w:val="005F3CC8"/>
    <w:rsid w:val="005F426B"/>
    <w:rsid w:val="005F4743"/>
    <w:rsid w:val="005F6B92"/>
    <w:rsid w:val="005F741D"/>
    <w:rsid w:val="005F7A13"/>
    <w:rsid w:val="00601683"/>
    <w:rsid w:val="0060238C"/>
    <w:rsid w:val="00603EC8"/>
    <w:rsid w:val="00603ECD"/>
    <w:rsid w:val="00604528"/>
    <w:rsid w:val="0060498D"/>
    <w:rsid w:val="006050A5"/>
    <w:rsid w:val="006064CA"/>
    <w:rsid w:val="006074E4"/>
    <w:rsid w:val="006079A3"/>
    <w:rsid w:val="006112CF"/>
    <w:rsid w:val="00611962"/>
    <w:rsid w:val="00611CF2"/>
    <w:rsid w:val="006148F1"/>
    <w:rsid w:val="006154EF"/>
    <w:rsid w:val="0061734D"/>
    <w:rsid w:val="00617745"/>
    <w:rsid w:val="00620277"/>
    <w:rsid w:val="0062045D"/>
    <w:rsid w:val="00620495"/>
    <w:rsid w:val="006209EF"/>
    <w:rsid w:val="0062175D"/>
    <w:rsid w:val="0062332E"/>
    <w:rsid w:val="0062416A"/>
    <w:rsid w:val="00624363"/>
    <w:rsid w:val="00624802"/>
    <w:rsid w:val="0062487A"/>
    <w:rsid w:val="0062582A"/>
    <w:rsid w:val="00627D0F"/>
    <w:rsid w:val="00627D15"/>
    <w:rsid w:val="0063020C"/>
    <w:rsid w:val="006308BB"/>
    <w:rsid w:val="00630A8B"/>
    <w:rsid w:val="00630E9C"/>
    <w:rsid w:val="006310DE"/>
    <w:rsid w:val="0063195F"/>
    <w:rsid w:val="00631BED"/>
    <w:rsid w:val="00631F14"/>
    <w:rsid w:val="006324C9"/>
    <w:rsid w:val="006331AF"/>
    <w:rsid w:val="00634D39"/>
    <w:rsid w:val="00636B70"/>
    <w:rsid w:val="00640D50"/>
    <w:rsid w:val="00643828"/>
    <w:rsid w:val="00643E1A"/>
    <w:rsid w:val="0064483A"/>
    <w:rsid w:val="00644A6F"/>
    <w:rsid w:val="0064518D"/>
    <w:rsid w:val="00645C9B"/>
    <w:rsid w:val="00645E1D"/>
    <w:rsid w:val="0065129F"/>
    <w:rsid w:val="006513E9"/>
    <w:rsid w:val="006515A5"/>
    <w:rsid w:val="0065268F"/>
    <w:rsid w:val="00653F9D"/>
    <w:rsid w:val="00653FE8"/>
    <w:rsid w:val="006551E2"/>
    <w:rsid w:val="00655ED8"/>
    <w:rsid w:val="00656819"/>
    <w:rsid w:val="006576A9"/>
    <w:rsid w:val="00657CD9"/>
    <w:rsid w:val="00657DF7"/>
    <w:rsid w:val="00657EC0"/>
    <w:rsid w:val="0066020E"/>
    <w:rsid w:val="00662F0E"/>
    <w:rsid w:val="006635C2"/>
    <w:rsid w:val="00664BF9"/>
    <w:rsid w:val="00665BF6"/>
    <w:rsid w:val="00665FEC"/>
    <w:rsid w:val="006667B3"/>
    <w:rsid w:val="00666F48"/>
    <w:rsid w:val="006719F3"/>
    <w:rsid w:val="006729C6"/>
    <w:rsid w:val="00672F55"/>
    <w:rsid w:val="00673F45"/>
    <w:rsid w:val="006741D5"/>
    <w:rsid w:val="00675AF7"/>
    <w:rsid w:val="006762DB"/>
    <w:rsid w:val="00676E84"/>
    <w:rsid w:val="006775A6"/>
    <w:rsid w:val="0067786F"/>
    <w:rsid w:val="00680782"/>
    <w:rsid w:val="00681CDE"/>
    <w:rsid w:val="00682697"/>
    <w:rsid w:val="00682BF7"/>
    <w:rsid w:val="00682DD6"/>
    <w:rsid w:val="00683C7F"/>
    <w:rsid w:val="006843D4"/>
    <w:rsid w:val="00684C21"/>
    <w:rsid w:val="00686241"/>
    <w:rsid w:val="00686365"/>
    <w:rsid w:val="006868DE"/>
    <w:rsid w:val="00686A42"/>
    <w:rsid w:val="00691891"/>
    <w:rsid w:val="006920F1"/>
    <w:rsid w:val="00692D03"/>
    <w:rsid w:val="00693BBF"/>
    <w:rsid w:val="00693CA7"/>
    <w:rsid w:val="00694926"/>
    <w:rsid w:val="006958BB"/>
    <w:rsid w:val="00695A9D"/>
    <w:rsid w:val="00695EAE"/>
    <w:rsid w:val="00696078"/>
    <w:rsid w:val="00696DCD"/>
    <w:rsid w:val="00696DE7"/>
    <w:rsid w:val="00696E60"/>
    <w:rsid w:val="00697619"/>
    <w:rsid w:val="006A0AD5"/>
    <w:rsid w:val="006A0AD7"/>
    <w:rsid w:val="006A0D68"/>
    <w:rsid w:val="006A0E61"/>
    <w:rsid w:val="006A22A5"/>
    <w:rsid w:val="006A2A0F"/>
    <w:rsid w:val="006A2A97"/>
    <w:rsid w:val="006A3050"/>
    <w:rsid w:val="006A4303"/>
    <w:rsid w:val="006A4BAD"/>
    <w:rsid w:val="006A55D0"/>
    <w:rsid w:val="006A654D"/>
    <w:rsid w:val="006A7C0F"/>
    <w:rsid w:val="006B0706"/>
    <w:rsid w:val="006B1526"/>
    <w:rsid w:val="006B170B"/>
    <w:rsid w:val="006B20E0"/>
    <w:rsid w:val="006B31DF"/>
    <w:rsid w:val="006B4D97"/>
    <w:rsid w:val="006B5E03"/>
    <w:rsid w:val="006B5E08"/>
    <w:rsid w:val="006B6B9C"/>
    <w:rsid w:val="006B72AA"/>
    <w:rsid w:val="006C03DF"/>
    <w:rsid w:val="006C0679"/>
    <w:rsid w:val="006C3A0E"/>
    <w:rsid w:val="006C40B4"/>
    <w:rsid w:val="006C7B9B"/>
    <w:rsid w:val="006C7D1D"/>
    <w:rsid w:val="006D17E9"/>
    <w:rsid w:val="006D25F3"/>
    <w:rsid w:val="006D3437"/>
    <w:rsid w:val="006D3FF1"/>
    <w:rsid w:val="006D4204"/>
    <w:rsid w:val="006E03D1"/>
    <w:rsid w:val="006E0F73"/>
    <w:rsid w:val="006E10BD"/>
    <w:rsid w:val="006E15FF"/>
    <w:rsid w:val="006E1657"/>
    <w:rsid w:val="006E16C5"/>
    <w:rsid w:val="006E1AF4"/>
    <w:rsid w:val="006E205A"/>
    <w:rsid w:val="006E3769"/>
    <w:rsid w:val="006E3BBE"/>
    <w:rsid w:val="006E6D0F"/>
    <w:rsid w:val="006F0396"/>
    <w:rsid w:val="006F085D"/>
    <w:rsid w:val="006F08A1"/>
    <w:rsid w:val="006F1FDA"/>
    <w:rsid w:val="006F1FF8"/>
    <w:rsid w:val="006F2CF4"/>
    <w:rsid w:val="006F2EDD"/>
    <w:rsid w:val="006F453F"/>
    <w:rsid w:val="006F5376"/>
    <w:rsid w:val="006F5634"/>
    <w:rsid w:val="006F641F"/>
    <w:rsid w:val="0070000E"/>
    <w:rsid w:val="00700DAB"/>
    <w:rsid w:val="007034BE"/>
    <w:rsid w:val="00703874"/>
    <w:rsid w:val="00704C7C"/>
    <w:rsid w:val="00704CF4"/>
    <w:rsid w:val="007064DD"/>
    <w:rsid w:val="007066D3"/>
    <w:rsid w:val="007066EC"/>
    <w:rsid w:val="0070712C"/>
    <w:rsid w:val="007071C3"/>
    <w:rsid w:val="007072F6"/>
    <w:rsid w:val="00707595"/>
    <w:rsid w:val="007103C0"/>
    <w:rsid w:val="007105D7"/>
    <w:rsid w:val="007113A4"/>
    <w:rsid w:val="00712341"/>
    <w:rsid w:val="00712612"/>
    <w:rsid w:val="0071368F"/>
    <w:rsid w:val="007137A1"/>
    <w:rsid w:val="00715471"/>
    <w:rsid w:val="00715A26"/>
    <w:rsid w:val="007162F9"/>
    <w:rsid w:val="00717C92"/>
    <w:rsid w:val="007201C7"/>
    <w:rsid w:val="007203F9"/>
    <w:rsid w:val="00720BA8"/>
    <w:rsid w:val="00723457"/>
    <w:rsid w:val="00723C77"/>
    <w:rsid w:val="00723FE4"/>
    <w:rsid w:val="007241B7"/>
    <w:rsid w:val="0072471B"/>
    <w:rsid w:val="0072562F"/>
    <w:rsid w:val="00726344"/>
    <w:rsid w:val="007274C2"/>
    <w:rsid w:val="007303F0"/>
    <w:rsid w:val="00730A8D"/>
    <w:rsid w:val="007314DD"/>
    <w:rsid w:val="00731786"/>
    <w:rsid w:val="00731F52"/>
    <w:rsid w:val="00732686"/>
    <w:rsid w:val="007328F4"/>
    <w:rsid w:val="0073424C"/>
    <w:rsid w:val="00735BD2"/>
    <w:rsid w:val="0073638A"/>
    <w:rsid w:val="00737192"/>
    <w:rsid w:val="007377D2"/>
    <w:rsid w:val="00737916"/>
    <w:rsid w:val="00737EF5"/>
    <w:rsid w:val="00740F1F"/>
    <w:rsid w:val="0074135C"/>
    <w:rsid w:val="007429B4"/>
    <w:rsid w:val="00742FFC"/>
    <w:rsid w:val="0074485D"/>
    <w:rsid w:val="00744CA6"/>
    <w:rsid w:val="0074524E"/>
    <w:rsid w:val="007452F7"/>
    <w:rsid w:val="00745FF7"/>
    <w:rsid w:val="00746037"/>
    <w:rsid w:val="007461B6"/>
    <w:rsid w:val="007468D1"/>
    <w:rsid w:val="007469FB"/>
    <w:rsid w:val="0075036E"/>
    <w:rsid w:val="00750373"/>
    <w:rsid w:val="00750DF6"/>
    <w:rsid w:val="007522B3"/>
    <w:rsid w:val="00752AEA"/>
    <w:rsid w:val="00753AF5"/>
    <w:rsid w:val="00753D62"/>
    <w:rsid w:val="00753E43"/>
    <w:rsid w:val="007546FC"/>
    <w:rsid w:val="00754B24"/>
    <w:rsid w:val="0075555D"/>
    <w:rsid w:val="0075558B"/>
    <w:rsid w:val="007568FF"/>
    <w:rsid w:val="0076087E"/>
    <w:rsid w:val="00760F74"/>
    <w:rsid w:val="00761D95"/>
    <w:rsid w:val="007630E4"/>
    <w:rsid w:val="007642D3"/>
    <w:rsid w:val="007644CE"/>
    <w:rsid w:val="00764DF0"/>
    <w:rsid w:val="007655AA"/>
    <w:rsid w:val="0076570E"/>
    <w:rsid w:val="00765BD2"/>
    <w:rsid w:val="00766088"/>
    <w:rsid w:val="007667E4"/>
    <w:rsid w:val="00766E48"/>
    <w:rsid w:val="00767894"/>
    <w:rsid w:val="00770BFF"/>
    <w:rsid w:val="007716D2"/>
    <w:rsid w:val="00771CBD"/>
    <w:rsid w:val="007722AC"/>
    <w:rsid w:val="00772408"/>
    <w:rsid w:val="007729DF"/>
    <w:rsid w:val="00772E73"/>
    <w:rsid w:val="007733B0"/>
    <w:rsid w:val="00774C46"/>
    <w:rsid w:val="00775A0B"/>
    <w:rsid w:val="007775FD"/>
    <w:rsid w:val="007801C5"/>
    <w:rsid w:val="00780FFB"/>
    <w:rsid w:val="007823B2"/>
    <w:rsid w:val="00782E06"/>
    <w:rsid w:val="00783C19"/>
    <w:rsid w:val="00784565"/>
    <w:rsid w:val="00784A2E"/>
    <w:rsid w:val="00785191"/>
    <w:rsid w:val="00785C6E"/>
    <w:rsid w:val="0078701D"/>
    <w:rsid w:val="007876BE"/>
    <w:rsid w:val="00787E75"/>
    <w:rsid w:val="007903CC"/>
    <w:rsid w:val="007906B1"/>
    <w:rsid w:val="00791BCA"/>
    <w:rsid w:val="00792A15"/>
    <w:rsid w:val="007945C6"/>
    <w:rsid w:val="007958C9"/>
    <w:rsid w:val="00796764"/>
    <w:rsid w:val="00797196"/>
    <w:rsid w:val="007A290D"/>
    <w:rsid w:val="007A374C"/>
    <w:rsid w:val="007A3ABE"/>
    <w:rsid w:val="007A3F2E"/>
    <w:rsid w:val="007A4401"/>
    <w:rsid w:val="007A44FA"/>
    <w:rsid w:val="007A532C"/>
    <w:rsid w:val="007A5D82"/>
    <w:rsid w:val="007A6B40"/>
    <w:rsid w:val="007A722C"/>
    <w:rsid w:val="007B1C56"/>
    <w:rsid w:val="007B2CBA"/>
    <w:rsid w:val="007B3D18"/>
    <w:rsid w:val="007B3EDF"/>
    <w:rsid w:val="007B449C"/>
    <w:rsid w:val="007B50B6"/>
    <w:rsid w:val="007B539B"/>
    <w:rsid w:val="007B59A7"/>
    <w:rsid w:val="007B6776"/>
    <w:rsid w:val="007B71FF"/>
    <w:rsid w:val="007B746A"/>
    <w:rsid w:val="007B776F"/>
    <w:rsid w:val="007C07D1"/>
    <w:rsid w:val="007C30BD"/>
    <w:rsid w:val="007C33AD"/>
    <w:rsid w:val="007C383A"/>
    <w:rsid w:val="007C45E1"/>
    <w:rsid w:val="007C544A"/>
    <w:rsid w:val="007C6429"/>
    <w:rsid w:val="007D0375"/>
    <w:rsid w:val="007D07D9"/>
    <w:rsid w:val="007D1AF6"/>
    <w:rsid w:val="007D3D90"/>
    <w:rsid w:val="007D4878"/>
    <w:rsid w:val="007D49CB"/>
    <w:rsid w:val="007D4ED0"/>
    <w:rsid w:val="007D51D6"/>
    <w:rsid w:val="007D6D40"/>
    <w:rsid w:val="007E000C"/>
    <w:rsid w:val="007E071A"/>
    <w:rsid w:val="007E0937"/>
    <w:rsid w:val="007E0BA0"/>
    <w:rsid w:val="007E276A"/>
    <w:rsid w:val="007E290C"/>
    <w:rsid w:val="007E60F3"/>
    <w:rsid w:val="007E6E19"/>
    <w:rsid w:val="007E7A1B"/>
    <w:rsid w:val="007F03B1"/>
    <w:rsid w:val="007F0517"/>
    <w:rsid w:val="007F09F8"/>
    <w:rsid w:val="007F20C2"/>
    <w:rsid w:val="007F326E"/>
    <w:rsid w:val="007F3625"/>
    <w:rsid w:val="007F3682"/>
    <w:rsid w:val="007F3B01"/>
    <w:rsid w:val="007F57AE"/>
    <w:rsid w:val="007F5EB2"/>
    <w:rsid w:val="007F7D8A"/>
    <w:rsid w:val="0080056E"/>
    <w:rsid w:val="00801912"/>
    <w:rsid w:val="008019C8"/>
    <w:rsid w:val="00803FAF"/>
    <w:rsid w:val="00805004"/>
    <w:rsid w:val="00805C61"/>
    <w:rsid w:val="00806688"/>
    <w:rsid w:val="00806CC8"/>
    <w:rsid w:val="008106C8"/>
    <w:rsid w:val="00811C1A"/>
    <w:rsid w:val="00812038"/>
    <w:rsid w:val="00812325"/>
    <w:rsid w:val="00812BFC"/>
    <w:rsid w:val="00812ED1"/>
    <w:rsid w:val="00813E15"/>
    <w:rsid w:val="00814043"/>
    <w:rsid w:val="0081475E"/>
    <w:rsid w:val="008161ED"/>
    <w:rsid w:val="00816718"/>
    <w:rsid w:val="00816AA2"/>
    <w:rsid w:val="00817094"/>
    <w:rsid w:val="0081764D"/>
    <w:rsid w:val="0082014B"/>
    <w:rsid w:val="00821933"/>
    <w:rsid w:val="00822459"/>
    <w:rsid w:val="008225BD"/>
    <w:rsid w:val="008234B7"/>
    <w:rsid w:val="00823928"/>
    <w:rsid w:val="00823BBC"/>
    <w:rsid w:val="00823F04"/>
    <w:rsid w:val="008242C0"/>
    <w:rsid w:val="008250C2"/>
    <w:rsid w:val="00825ECB"/>
    <w:rsid w:val="00826B56"/>
    <w:rsid w:val="00831374"/>
    <w:rsid w:val="00831679"/>
    <w:rsid w:val="008329D0"/>
    <w:rsid w:val="008345B4"/>
    <w:rsid w:val="008358DB"/>
    <w:rsid w:val="00837D26"/>
    <w:rsid w:val="00840100"/>
    <w:rsid w:val="00840524"/>
    <w:rsid w:val="008406D5"/>
    <w:rsid w:val="00841368"/>
    <w:rsid w:val="008430F8"/>
    <w:rsid w:val="00843CB9"/>
    <w:rsid w:val="00843EF8"/>
    <w:rsid w:val="00844667"/>
    <w:rsid w:val="00845051"/>
    <w:rsid w:val="00845FA9"/>
    <w:rsid w:val="00846CE5"/>
    <w:rsid w:val="00847D68"/>
    <w:rsid w:val="00850104"/>
    <w:rsid w:val="00850F2A"/>
    <w:rsid w:val="00851817"/>
    <w:rsid w:val="00852B9F"/>
    <w:rsid w:val="00855B1B"/>
    <w:rsid w:val="00855E90"/>
    <w:rsid w:val="00855EB3"/>
    <w:rsid w:val="00857201"/>
    <w:rsid w:val="00860B1B"/>
    <w:rsid w:val="008652D1"/>
    <w:rsid w:val="00865BC9"/>
    <w:rsid w:val="008663D0"/>
    <w:rsid w:val="00866D3B"/>
    <w:rsid w:val="00867E09"/>
    <w:rsid w:val="00867F29"/>
    <w:rsid w:val="00870159"/>
    <w:rsid w:val="00870807"/>
    <w:rsid w:val="00871743"/>
    <w:rsid w:val="00871A26"/>
    <w:rsid w:val="008724B1"/>
    <w:rsid w:val="00872866"/>
    <w:rsid w:val="00874281"/>
    <w:rsid w:val="008749A5"/>
    <w:rsid w:val="00875335"/>
    <w:rsid w:val="0088176B"/>
    <w:rsid w:val="0088186D"/>
    <w:rsid w:val="008818EF"/>
    <w:rsid w:val="008819F3"/>
    <w:rsid w:val="00882E0C"/>
    <w:rsid w:val="00883A67"/>
    <w:rsid w:val="008845F6"/>
    <w:rsid w:val="0088586F"/>
    <w:rsid w:val="008858BD"/>
    <w:rsid w:val="00886B34"/>
    <w:rsid w:val="00886B75"/>
    <w:rsid w:val="00887919"/>
    <w:rsid w:val="00890B84"/>
    <w:rsid w:val="008910E8"/>
    <w:rsid w:val="00892224"/>
    <w:rsid w:val="00893B58"/>
    <w:rsid w:val="008948A4"/>
    <w:rsid w:val="0089495C"/>
    <w:rsid w:val="00895230"/>
    <w:rsid w:val="008959B1"/>
    <w:rsid w:val="0089646A"/>
    <w:rsid w:val="008978FA"/>
    <w:rsid w:val="0089796B"/>
    <w:rsid w:val="00897DC0"/>
    <w:rsid w:val="008A07B9"/>
    <w:rsid w:val="008A083C"/>
    <w:rsid w:val="008A10B8"/>
    <w:rsid w:val="008A174F"/>
    <w:rsid w:val="008A3EE9"/>
    <w:rsid w:val="008A4D32"/>
    <w:rsid w:val="008A4FC9"/>
    <w:rsid w:val="008A6405"/>
    <w:rsid w:val="008B0EB9"/>
    <w:rsid w:val="008B1299"/>
    <w:rsid w:val="008B1836"/>
    <w:rsid w:val="008B190B"/>
    <w:rsid w:val="008B1964"/>
    <w:rsid w:val="008B35D2"/>
    <w:rsid w:val="008B4C57"/>
    <w:rsid w:val="008B5CB5"/>
    <w:rsid w:val="008B5E2B"/>
    <w:rsid w:val="008C0056"/>
    <w:rsid w:val="008C0063"/>
    <w:rsid w:val="008C1194"/>
    <w:rsid w:val="008C1821"/>
    <w:rsid w:val="008C2758"/>
    <w:rsid w:val="008C575C"/>
    <w:rsid w:val="008C64C7"/>
    <w:rsid w:val="008C6D67"/>
    <w:rsid w:val="008C6E53"/>
    <w:rsid w:val="008C72F1"/>
    <w:rsid w:val="008D09A3"/>
    <w:rsid w:val="008D0CE5"/>
    <w:rsid w:val="008D267C"/>
    <w:rsid w:val="008D33C7"/>
    <w:rsid w:val="008D4546"/>
    <w:rsid w:val="008D4551"/>
    <w:rsid w:val="008D4615"/>
    <w:rsid w:val="008D4983"/>
    <w:rsid w:val="008D4D45"/>
    <w:rsid w:val="008D4EA4"/>
    <w:rsid w:val="008D5D09"/>
    <w:rsid w:val="008D5E50"/>
    <w:rsid w:val="008D7C26"/>
    <w:rsid w:val="008E091F"/>
    <w:rsid w:val="008E1123"/>
    <w:rsid w:val="008E194E"/>
    <w:rsid w:val="008E3C5C"/>
    <w:rsid w:val="008E49F7"/>
    <w:rsid w:val="008E4AA1"/>
    <w:rsid w:val="008E5A33"/>
    <w:rsid w:val="008E7AD4"/>
    <w:rsid w:val="008E7E02"/>
    <w:rsid w:val="008F050D"/>
    <w:rsid w:val="008F1BAF"/>
    <w:rsid w:val="008F1C1A"/>
    <w:rsid w:val="008F2779"/>
    <w:rsid w:val="008F3FDA"/>
    <w:rsid w:val="008F457F"/>
    <w:rsid w:val="008F6A24"/>
    <w:rsid w:val="008F7790"/>
    <w:rsid w:val="00900207"/>
    <w:rsid w:val="0090020D"/>
    <w:rsid w:val="0090123D"/>
    <w:rsid w:val="00901D9B"/>
    <w:rsid w:val="009023A0"/>
    <w:rsid w:val="009039CF"/>
    <w:rsid w:val="00905C88"/>
    <w:rsid w:val="009061A7"/>
    <w:rsid w:val="0090651F"/>
    <w:rsid w:val="009066DA"/>
    <w:rsid w:val="0090721D"/>
    <w:rsid w:val="0090769B"/>
    <w:rsid w:val="009114CB"/>
    <w:rsid w:val="0091225A"/>
    <w:rsid w:val="00913281"/>
    <w:rsid w:val="009132F5"/>
    <w:rsid w:val="00914512"/>
    <w:rsid w:val="00914DF1"/>
    <w:rsid w:val="0091507A"/>
    <w:rsid w:val="00915145"/>
    <w:rsid w:val="00915BCB"/>
    <w:rsid w:val="00917222"/>
    <w:rsid w:val="0092011B"/>
    <w:rsid w:val="0092055B"/>
    <w:rsid w:val="009205FB"/>
    <w:rsid w:val="00920CD2"/>
    <w:rsid w:val="00923E19"/>
    <w:rsid w:val="00923E95"/>
    <w:rsid w:val="00925E90"/>
    <w:rsid w:val="00926C96"/>
    <w:rsid w:val="009275F6"/>
    <w:rsid w:val="0093028F"/>
    <w:rsid w:val="00930EC1"/>
    <w:rsid w:val="009348B2"/>
    <w:rsid w:val="009352C3"/>
    <w:rsid w:val="00935897"/>
    <w:rsid w:val="00935934"/>
    <w:rsid w:val="009369F1"/>
    <w:rsid w:val="00937C33"/>
    <w:rsid w:val="009407D4"/>
    <w:rsid w:val="0094196D"/>
    <w:rsid w:val="00945946"/>
    <w:rsid w:val="00945FBE"/>
    <w:rsid w:val="00946655"/>
    <w:rsid w:val="00947A21"/>
    <w:rsid w:val="00950594"/>
    <w:rsid w:val="0095204C"/>
    <w:rsid w:val="00952385"/>
    <w:rsid w:val="0095241B"/>
    <w:rsid w:val="0095246E"/>
    <w:rsid w:val="00952825"/>
    <w:rsid w:val="00952A88"/>
    <w:rsid w:val="00954CE1"/>
    <w:rsid w:val="0095579D"/>
    <w:rsid w:val="00955F71"/>
    <w:rsid w:val="009560E2"/>
    <w:rsid w:val="009566C6"/>
    <w:rsid w:val="00956DE4"/>
    <w:rsid w:val="0095780B"/>
    <w:rsid w:val="009578DE"/>
    <w:rsid w:val="00960830"/>
    <w:rsid w:val="00960B76"/>
    <w:rsid w:val="0096397A"/>
    <w:rsid w:val="00964620"/>
    <w:rsid w:val="0096494B"/>
    <w:rsid w:val="00964A41"/>
    <w:rsid w:val="009657A0"/>
    <w:rsid w:val="009704F0"/>
    <w:rsid w:val="00970A90"/>
    <w:rsid w:val="00970BCD"/>
    <w:rsid w:val="00972321"/>
    <w:rsid w:val="00972BD2"/>
    <w:rsid w:val="00973995"/>
    <w:rsid w:val="00973A23"/>
    <w:rsid w:val="00973F18"/>
    <w:rsid w:val="009752D8"/>
    <w:rsid w:val="00975A04"/>
    <w:rsid w:val="009805D9"/>
    <w:rsid w:val="00980B80"/>
    <w:rsid w:val="009810D3"/>
    <w:rsid w:val="00981D51"/>
    <w:rsid w:val="00983174"/>
    <w:rsid w:val="00983DD2"/>
    <w:rsid w:val="00984B73"/>
    <w:rsid w:val="0098509E"/>
    <w:rsid w:val="0098521F"/>
    <w:rsid w:val="00985E5D"/>
    <w:rsid w:val="00986403"/>
    <w:rsid w:val="00986B1A"/>
    <w:rsid w:val="0099048E"/>
    <w:rsid w:val="00990B11"/>
    <w:rsid w:val="00991B55"/>
    <w:rsid w:val="00991CED"/>
    <w:rsid w:val="009921A1"/>
    <w:rsid w:val="00992673"/>
    <w:rsid w:val="00992820"/>
    <w:rsid w:val="00992F74"/>
    <w:rsid w:val="00993D4B"/>
    <w:rsid w:val="00993E5E"/>
    <w:rsid w:val="009943B9"/>
    <w:rsid w:val="00995AEB"/>
    <w:rsid w:val="00996F84"/>
    <w:rsid w:val="00997782"/>
    <w:rsid w:val="009A39DB"/>
    <w:rsid w:val="009A434D"/>
    <w:rsid w:val="009A5412"/>
    <w:rsid w:val="009A5E0E"/>
    <w:rsid w:val="009B021F"/>
    <w:rsid w:val="009B030B"/>
    <w:rsid w:val="009B0A00"/>
    <w:rsid w:val="009B12BB"/>
    <w:rsid w:val="009B1998"/>
    <w:rsid w:val="009B1A0C"/>
    <w:rsid w:val="009B2459"/>
    <w:rsid w:val="009B2908"/>
    <w:rsid w:val="009B3DDB"/>
    <w:rsid w:val="009B40E9"/>
    <w:rsid w:val="009B478B"/>
    <w:rsid w:val="009B5800"/>
    <w:rsid w:val="009B610F"/>
    <w:rsid w:val="009B69C0"/>
    <w:rsid w:val="009B6CF0"/>
    <w:rsid w:val="009B756B"/>
    <w:rsid w:val="009B7EE9"/>
    <w:rsid w:val="009C0048"/>
    <w:rsid w:val="009C2305"/>
    <w:rsid w:val="009C24CC"/>
    <w:rsid w:val="009C2818"/>
    <w:rsid w:val="009C2862"/>
    <w:rsid w:val="009C3278"/>
    <w:rsid w:val="009C3A38"/>
    <w:rsid w:val="009C559C"/>
    <w:rsid w:val="009C6CE6"/>
    <w:rsid w:val="009C7012"/>
    <w:rsid w:val="009D0760"/>
    <w:rsid w:val="009D0787"/>
    <w:rsid w:val="009D11A2"/>
    <w:rsid w:val="009D1787"/>
    <w:rsid w:val="009D4596"/>
    <w:rsid w:val="009D4AC5"/>
    <w:rsid w:val="009D538D"/>
    <w:rsid w:val="009D547B"/>
    <w:rsid w:val="009D5AC6"/>
    <w:rsid w:val="009D68FC"/>
    <w:rsid w:val="009E0074"/>
    <w:rsid w:val="009E170C"/>
    <w:rsid w:val="009E280F"/>
    <w:rsid w:val="009E4710"/>
    <w:rsid w:val="009E4AB9"/>
    <w:rsid w:val="009E6A59"/>
    <w:rsid w:val="009E6C3E"/>
    <w:rsid w:val="009F07D9"/>
    <w:rsid w:val="009F1503"/>
    <w:rsid w:val="009F1847"/>
    <w:rsid w:val="009F28FC"/>
    <w:rsid w:val="009F2E74"/>
    <w:rsid w:val="009F3267"/>
    <w:rsid w:val="009F40BC"/>
    <w:rsid w:val="009F5149"/>
    <w:rsid w:val="009F5413"/>
    <w:rsid w:val="009F621F"/>
    <w:rsid w:val="009F63B3"/>
    <w:rsid w:val="009F67D9"/>
    <w:rsid w:val="00A001DB"/>
    <w:rsid w:val="00A0114A"/>
    <w:rsid w:val="00A01743"/>
    <w:rsid w:val="00A03239"/>
    <w:rsid w:val="00A0403B"/>
    <w:rsid w:val="00A049BD"/>
    <w:rsid w:val="00A05BEC"/>
    <w:rsid w:val="00A07138"/>
    <w:rsid w:val="00A11CA8"/>
    <w:rsid w:val="00A136A8"/>
    <w:rsid w:val="00A13BAA"/>
    <w:rsid w:val="00A13C6B"/>
    <w:rsid w:val="00A15ADB"/>
    <w:rsid w:val="00A16C44"/>
    <w:rsid w:val="00A2174E"/>
    <w:rsid w:val="00A21E1B"/>
    <w:rsid w:val="00A21F88"/>
    <w:rsid w:val="00A22CB7"/>
    <w:rsid w:val="00A2394D"/>
    <w:rsid w:val="00A23ECA"/>
    <w:rsid w:val="00A24D18"/>
    <w:rsid w:val="00A24D97"/>
    <w:rsid w:val="00A268A1"/>
    <w:rsid w:val="00A26D6A"/>
    <w:rsid w:val="00A30225"/>
    <w:rsid w:val="00A30D03"/>
    <w:rsid w:val="00A316D5"/>
    <w:rsid w:val="00A31D23"/>
    <w:rsid w:val="00A33CB6"/>
    <w:rsid w:val="00A36541"/>
    <w:rsid w:val="00A405F8"/>
    <w:rsid w:val="00A41574"/>
    <w:rsid w:val="00A41B32"/>
    <w:rsid w:val="00A43440"/>
    <w:rsid w:val="00A448F9"/>
    <w:rsid w:val="00A44D97"/>
    <w:rsid w:val="00A46414"/>
    <w:rsid w:val="00A46B30"/>
    <w:rsid w:val="00A500B2"/>
    <w:rsid w:val="00A50E1F"/>
    <w:rsid w:val="00A513A8"/>
    <w:rsid w:val="00A514FA"/>
    <w:rsid w:val="00A51732"/>
    <w:rsid w:val="00A51E05"/>
    <w:rsid w:val="00A524FE"/>
    <w:rsid w:val="00A52E44"/>
    <w:rsid w:val="00A537AA"/>
    <w:rsid w:val="00A55027"/>
    <w:rsid w:val="00A55C62"/>
    <w:rsid w:val="00A55D61"/>
    <w:rsid w:val="00A57C84"/>
    <w:rsid w:val="00A605DD"/>
    <w:rsid w:val="00A60A54"/>
    <w:rsid w:val="00A60CD4"/>
    <w:rsid w:val="00A60E1D"/>
    <w:rsid w:val="00A611FC"/>
    <w:rsid w:val="00A61241"/>
    <w:rsid w:val="00A61428"/>
    <w:rsid w:val="00A61519"/>
    <w:rsid w:val="00A62278"/>
    <w:rsid w:val="00A62A1F"/>
    <w:rsid w:val="00A62DBD"/>
    <w:rsid w:val="00A64DB7"/>
    <w:rsid w:val="00A64F85"/>
    <w:rsid w:val="00A66A58"/>
    <w:rsid w:val="00A676D2"/>
    <w:rsid w:val="00A701BB"/>
    <w:rsid w:val="00A70C24"/>
    <w:rsid w:val="00A70C43"/>
    <w:rsid w:val="00A70F03"/>
    <w:rsid w:val="00A710EF"/>
    <w:rsid w:val="00A71383"/>
    <w:rsid w:val="00A7262E"/>
    <w:rsid w:val="00A73661"/>
    <w:rsid w:val="00A745F2"/>
    <w:rsid w:val="00A76A43"/>
    <w:rsid w:val="00A77577"/>
    <w:rsid w:val="00A80A91"/>
    <w:rsid w:val="00A82095"/>
    <w:rsid w:val="00A835B0"/>
    <w:rsid w:val="00A835D8"/>
    <w:rsid w:val="00A83C8C"/>
    <w:rsid w:val="00A84122"/>
    <w:rsid w:val="00A86380"/>
    <w:rsid w:val="00A86809"/>
    <w:rsid w:val="00A86D80"/>
    <w:rsid w:val="00A87F7C"/>
    <w:rsid w:val="00A9030B"/>
    <w:rsid w:val="00A91002"/>
    <w:rsid w:val="00A942DF"/>
    <w:rsid w:val="00A94A0A"/>
    <w:rsid w:val="00A94E49"/>
    <w:rsid w:val="00A95432"/>
    <w:rsid w:val="00A96FB2"/>
    <w:rsid w:val="00A97004"/>
    <w:rsid w:val="00A97610"/>
    <w:rsid w:val="00AA00AA"/>
    <w:rsid w:val="00AA06FE"/>
    <w:rsid w:val="00AA077D"/>
    <w:rsid w:val="00AA0784"/>
    <w:rsid w:val="00AA26D6"/>
    <w:rsid w:val="00AA2720"/>
    <w:rsid w:val="00AA4343"/>
    <w:rsid w:val="00AA48E7"/>
    <w:rsid w:val="00AA5318"/>
    <w:rsid w:val="00AA79D1"/>
    <w:rsid w:val="00AB0EF5"/>
    <w:rsid w:val="00AB0FCD"/>
    <w:rsid w:val="00AB2DA4"/>
    <w:rsid w:val="00AB3014"/>
    <w:rsid w:val="00AB325D"/>
    <w:rsid w:val="00AB3E36"/>
    <w:rsid w:val="00AB456A"/>
    <w:rsid w:val="00AB551B"/>
    <w:rsid w:val="00AB6EE1"/>
    <w:rsid w:val="00AB70B7"/>
    <w:rsid w:val="00AB7AD1"/>
    <w:rsid w:val="00AC103A"/>
    <w:rsid w:val="00AC2673"/>
    <w:rsid w:val="00AC2AD3"/>
    <w:rsid w:val="00AC3DBC"/>
    <w:rsid w:val="00AC4B7B"/>
    <w:rsid w:val="00AC59BA"/>
    <w:rsid w:val="00AC657C"/>
    <w:rsid w:val="00AC6B3C"/>
    <w:rsid w:val="00AC7445"/>
    <w:rsid w:val="00AC7EBF"/>
    <w:rsid w:val="00AD006F"/>
    <w:rsid w:val="00AD07A2"/>
    <w:rsid w:val="00AD0843"/>
    <w:rsid w:val="00AD1FA0"/>
    <w:rsid w:val="00AD262C"/>
    <w:rsid w:val="00AD2E64"/>
    <w:rsid w:val="00AD35B5"/>
    <w:rsid w:val="00AD3B9F"/>
    <w:rsid w:val="00AD494A"/>
    <w:rsid w:val="00AD5C0C"/>
    <w:rsid w:val="00AD5D89"/>
    <w:rsid w:val="00AD62A2"/>
    <w:rsid w:val="00AD7080"/>
    <w:rsid w:val="00AD7985"/>
    <w:rsid w:val="00AD7CE4"/>
    <w:rsid w:val="00AD7E97"/>
    <w:rsid w:val="00AE093E"/>
    <w:rsid w:val="00AE1BBE"/>
    <w:rsid w:val="00AE36D9"/>
    <w:rsid w:val="00AE3B6B"/>
    <w:rsid w:val="00AE3BBD"/>
    <w:rsid w:val="00AE4DBA"/>
    <w:rsid w:val="00AE4FFA"/>
    <w:rsid w:val="00AE6F57"/>
    <w:rsid w:val="00AE72A7"/>
    <w:rsid w:val="00AE7914"/>
    <w:rsid w:val="00AF07A8"/>
    <w:rsid w:val="00AF0B98"/>
    <w:rsid w:val="00AF0D9C"/>
    <w:rsid w:val="00AF169E"/>
    <w:rsid w:val="00AF435C"/>
    <w:rsid w:val="00AF50C2"/>
    <w:rsid w:val="00AF585A"/>
    <w:rsid w:val="00AF6695"/>
    <w:rsid w:val="00AF7DED"/>
    <w:rsid w:val="00AF7FB1"/>
    <w:rsid w:val="00B01509"/>
    <w:rsid w:val="00B01997"/>
    <w:rsid w:val="00B0291F"/>
    <w:rsid w:val="00B02F02"/>
    <w:rsid w:val="00B03143"/>
    <w:rsid w:val="00B039C1"/>
    <w:rsid w:val="00B03F1D"/>
    <w:rsid w:val="00B05062"/>
    <w:rsid w:val="00B05465"/>
    <w:rsid w:val="00B08F0E"/>
    <w:rsid w:val="00B107C8"/>
    <w:rsid w:val="00B1193A"/>
    <w:rsid w:val="00B12F5D"/>
    <w:rsid w:val="00B13587"/>
    <w:rsid w:val="00B137D1"/>
    <w:rsid w:val="00B14A2E"/>
    <w:rsid w:val="00B155CB"/>
    <w:rsid w:val="00B163C2"/>
    <w:rsid w:val="00B166EC"/>
    <w:rsid w:val="00B167F9"/>
    <w:rsid w:val="00B17081"/>
    <w:rsid w:val="00B17854"/>
    <w:rsid w:val="00B17FE3"/>
    <w:rsid w:val="00B20DA3"/>
    <w:rsid w:val="00B21D19"/>
    <w:rsid w:val="00B228EB"/>
    <w:rsid w:val="00B22A6E"/>
    <w:rsid w:val="00B22B60"/>
    <w:rsid w:val="00B26360"/>
    <w:rsid w:val="00B26939"/>
    <w:rsid w:val="00B26EF7"/>
    <w:rsid w:val="00B27917"/>
    <w:rsid w:val="00B30330"/>
    <w:rsid w:val="00B30359"/>
    <w:rsid w:val="00B31581"/>
    <w:rsid w:val="00B31D86"/>
    <w:rsid w:val="00B31F89"/>
    <w:rsid w:val="00B322C7"/>
    <w:rsid w:val="00B32E48"/>
    <w:rsid w:val="00B33331"/>
    <w:rsid w:val="00B340C9"/>
    <w:rsid w:val="00B34386"/>
    <w:rsid w:val="00B34995"/>
    <w:rsid w:val="00B34BE5"/>
    <w:rsid w:val="00B35489"/>
    <w:rsid w:val="00B35622"/>
    <w:rsid w:val="00B35D97"/>
    <w:rsid w:val="00B369EF"/>
    <w:rsid w:val="00B372DB"/>
    <w:rsid w:val="00B378B7"/>
    <w:rsid w:val="00B37E31"/>
    <w:rsid w:val="00B4113A"/>
    <w:rsid w:val="00B41E91"/>
    <w:rsid w:val="00B42817"/>
    <w:rsid w:val="00B4350B"/>
    <w:rsid w:val="00B43B19"/>
    <w:rsid w:val="00B43E20"/>
    <w:rsid w:val="00B44878"/>
    <w:rsid w:val="00B44A1D"/>
    <w:rsid w:val="00B45A00"/>
    <w:rsid w:val="00B47660"/>
    <w:rsid w:val="00B507EA"/>
    <w:rsid w:val="00B52961"/>
    <w:rsid w:val="00B52BE6"/>
    <w:rsid w:val="00B53484"/>
    <w:rsid w:val="00B53EDC"/>
    <w:rsid w:val="00B56149"/>
    <w:rsid w:val="00B56D61"/>
    <w:rsid w:val="00B57373"/>
    <w:rsid w:val="00B57C27"/>
    <w:rsid w:val="00B57F16"/>
    <w:rsid w:val="00B63637"/>
    <w:rsid w:val="00B63E05"/>
    <w:rsid w:val="00B64942"/>
    <w:rsid w:val="00B65AE2"/>
    <w:rsid w:val="00B66FDA"/>
    <w:rsid w:val="00B7096E"/>
    <w:rsid w:val="00B70C98"/>
    <w:rsid w:val="00B72151"/>
    <w:rsid w:val="00B72C7A"/>
    <w:rsid w:val="00B73124"/>
    <w:rsid w:val="00B73A47"/>
    <w:rsid w:val="00B74067"/>
    <w:rsid w:val="00B74480"/>
    <w:rsid w:val="00B757BE"/>
    <w:rsid w:val="00B75E4B"/>
    <w:rsid w:val="00B767D7"/>
    <w:rsid w:val="00B76A98"/>
    <w:rsid w:val="00B76E7B"/>
    <w:rsid w:val="00B80263"/>
    <w:rsid w:val="00B83FA7"/>
    <w:rsid w:val="00B842F3"/>
    <w:rsid w:val="00B84494"/>
    <w:rsid w:val="00B84502"/>
    <w:rsid w:val="00B84BBD"/>
    <w:rsid w:val="00B8555A"/>
    <w:rsid w:val="00B861D2"/>
    <w:rsid w:val="00B87856"/>
    <w:rsid w:val="00B87D5F"/>
    <w:rsid w:val="00B92927"/>
    <w:rsid w:val="00B967D9"/>
    <w:rsid w:val="00B979F7"/>
    <w:rsid w:val="00BA09D5"/>
    <w:rsid w:val="00BA0BAB"/>
    <w:rsid w:val="00BA12F0"/>
    <w:rsid w:val="00BA13E6"/>
    <w:rsid w:val="00BA2C25"/>
    <w:rsid w:val="00BA40E5"/>
    <w:rsid w:val="00BA4858"/>
    <w:rsid w:val="00BA5976"/>
    <w:rsid w:val="00BA75B7"/>
    <w:rsid w:val="00BB3334"/>
    <w:rsid w:val="00BB608A"/>
    <w:rsid w:val="00BB6E1C"/>
    <w:rsid w:val="00BC0F67"/>
    <w:rsid w:val="00BC1265"/>
    <w:rsid w:val="00BC2DF0"/>
    <w:rsid w:val="00BC311D"/>
    <w:rsid w:val="00BC3944"/>
    <w:rsid w:val="00BC41B4"/>
    <w:rsid w:val="00BC526D"/>
    <w:rsid w:val="00BC7901"/>
    <w:rsid w:val="00BC7D8A"/>
    <w:rsid w:val="00BD00A8"/>
    <w:rsid w:val="00BD0921"/>
    <w:rsid w:val="00BD1214"/>
    <w:rsid w:val="00BD15AF"/>
    <w:rsid w:val="00BD1D46"/>
    <w:rsid w:val="00BD254D"/>
    <w:rsid w:val="00BD2670"/>
    <w:rsid w:val="00BD3661"/>
    <w:rsid w:val="00BD366A"/>
    <w:rsid w:val="00BD5B94"/>
    <w:rsid w:val="00BD6FC4"/>
    <w:rsid w:val="00BD75DE"/>
    <w:rsid w:val="00BE0ADA"/>
    <w:rsid w:val="00BE0C09"/>
    <w:rsid w:val="00BE3303"/>
    <w:rsid w:val="00BE39BB"/>
    <w:rsid w:val="00BE516E"/>
    <w:rsid w:val="00BE7407"/>
    <w:rsid w:val="00BF0966"/>
    <w:rsid w:val="00BF0E55"/>
    <w:rsid w:val="00BF2F64"/>
    <w:rsid w:val="00BF35C1"/>
    <w:rsid w:val="00BF38CF"/>
    <w:rsid w:val="00BF3BD0"/>
    <w:rsid w:val="00BF5577"/>
    <w:rsid w:val="00BF5B55"/>
    <w:rsid w:val="00BF6E2F"/>
    <w:rsid w:val="00BF774F"/>
    <w:rsid w:val="00C005B6"/>
    <w:rsid w:val="00C00C6E"/>
    <w:rsid w:val="00C01E3C"/>
    <w:rsid w:val="00C021E2"/>
    <w:rsid w:val="00C02347"/>
    <w:rsid w:val="00C023F6"/>
    <w:rsid w:val="00C02418"/>
    <w:rsid w:val="00C02627"/>
    <w:rsid w:val="00C02993"/>
    <w:rsid w:val="00C03E12"/>
    <w:rsid w:val="00C03F2D"/>
    <w:rsid w:val="00C050EC"/>
    <w:rsid w:val="00C05D36"/>
    <w:rsid w:val="00C06C5C"/>
    <w:rsid w:val="00C06EAC"/>
    <w:rsid w:val="00C072BB"/>
    <w:rsid w:val="00C1087E"/>
    <w:rsid w:val="00C11720"/>
    <w:rsid w:val="00C1286E"/>
    <w:rsid w:val="00C12F96"/>
    <w:rsid w:val="00C13EAE"/>
    <w:rsid w:val="00C152A7"/>
    <w:rsid w:val="00C16FBF"/>
    <w:rsid w:val="00C17471"/>
    <w:rsid w:val="00C20923"/>
    <w:rsid w:val="00C21559"/>
    <w:rsid w:val="00C2188C"/>
    <w:rsid w:val="00C22044"/>
    <w:rsid w:val="00C2483C"/>
    <w:rsid w:val="00C257D5"/>
    <w:rsid w:val="00C25849"/>
    <w:rsid w:val="00C25927"/>
    <w:rsid w:val="00C26715"/>
    <w:rsid w:val="00C26F71"/>
    <w:rsid w:val="00C276DA"/>
    <w:rsid w:val="00C304FE"/>
    <w:rsid w:val="00C30E33"/>
    <w:rsid w:val="00C30F08"/>
    <w:rsid w:val="00C311E1"/>
    <w:rsid w:val="00C312EC"/>
    <w:rsid w:val="00C3549A"/>
    <w:rsid w:val="00C35AA7"/>
    <w:rsid w:val="00C35D96"/>
    <w:rsid w:val="00C36283"/>
    <w:rsid w:val="00C36455"/>
    <w:rsid w:val="00C37678"/>
    <w:rsid w:val="00C40F27"/>
    <w:rsid w:val="00C41DA8"/>
    <w:rsid w:val="00C4283C"/>
    <w:rsid w:val="00C4400F"/>
    <w:rsid w:val="00C447FB"/>
    <w:rsid w:val="00C44A96"/>
    <w:rsid w:val="00C45138"/>
    <w:rsid w:val="00C46045"/>
    <w:rsid w:val="00C467A4"/>
    <w:rsid w:val="00C46895"/>
    <w:rsid w:val="00C46CDE"/>
    <w:rsid w:val="00C47E9C"/>
    <w:rsid w:val="00C5052C"/>
    <w:rsid w:val="00C5116C"/>
    <w:rsid w:val="00C52038"/>
    <w:rsid w:val="00C52B36"/>
    <w:rsid w:val="00C52CEF"/>
    <w:rsid w:val="00C52D6F"/>
    <w:rsid w:val="00C53289"/>
    <w:rsid w:val="00C54DE7"/>
    <w:rsid w:val="00C56C2A"/>
    <w:rsid w:val="00C57379"/>
    <w:rsid w:val="00C60F94"/>
    <w:rsid w:val="00C61490"/>
    <w:rsid w:val="00C61798"/>
    <w:rsid w:val="00C61E46"/>
    <w:rsid w:val="00C63105"/>
    <w:rsid w:val="00C636B8"/>
    <w:rsid w:val="00C63ED8"/>
    <w:rsid w:val="00C64240"/>
    <w:rsid w:val="00C6454B"/>
    <w:rsid w:val="00C663DF"/>
    <w:rsid w:val="00C669EF"/>
    <w:rsid w:val="00C670FC"/>
    <w:rsid w:val="00C677E5"/>
    <w:rsid w:val="00C706C2"/>
    <w:rsid w:val="00C71368"/>
    <w:rsid w:val="00C713A9"/>
    <w:rsid w:val="00C71687"/>
    <w:rsid w:val="00C71768"/>
    <w:rsid w:val="00C7348B"/>
    <w:rsid w:val="00C73A30"/>
    <w:rsid w:val="00C7408B"/>
    <w:rsid w:val="00C74137"/>
    <w:rsid w:val="00C7497D"/>
    <w:rsid w:val="00C76371"/>
    <w:rsid w:val="00C7661E"/>
    <w:rsid w:val="00C779D7"/>
    <w:rsid w:val="00C77BFD"/>
    <w:rsid w:val="00C77FD0"/>
    <w:rsid w:val="00C81806"/>
    <w:rsid w:val="00C8230D"/>
    <w:rsid w:val="00C832AC"/>
    <w:rsid w:val="00C845BD"/>
    <w:rsid w:val="00C84FC6"/>
    <w:rsid w:val="00C85861"/>
    <w:rsid w:val="00C85915"/>
    <w:rsid w:val="00C86241"/>
    <w:rsid w:val="00C86324"/>
    <w:rsid w:val="00C87055"/>
    <w:rsid w:val="00C87DE0"/>
    <w:rsid w:val="00C90214"/>
    <w:rsid w:val="00C9074C"/>
    <w:rsid w:val="00C92097"/>
    <w:rsid w:val="00C92472"/>
    <w:rsid w:val="00C92B1E"/>
    <w:rsid w:val="00C92EEA"/>
    <w:rsid w:val="00C9339A"/>
    <w:rsid w:val="00C93C55"/>
    <w:rsid w:val="00C95134"/>
    <w:rsid w:val="00C9762D"/>
    <w:rsid w:val="00CA0655"/>
    <w:rsid w:val="00CA0692"/>
    <w:rsid w:val="00CA1C26"/>
    <w:rsid w:val="00CA2186"/>
    <w:rsid w:val="00CA3032"/>
    <w:rsid w:val="00CA3035"/>
    <w:rsid w:val="00CA40B8"/>
    <w:rsid w:val="00CA4CDA"/>
    <w:rsid w:val="00CA6552"/>
    <w:rsid w:val="00CA6FE0"/>
    <w:rsid w:val="00CA7086"/>
    <w:rsid w:val="00CA7275"/>
    <w:rsid w:val="00CA7BDD"/>
    <w:rsid w:val="00CA7D85"/>
    <w:rsid w:val="00CB0C70"/>
    <w:rsid w:val="00CB1742"/>
    <w:rsid w:val="00CB17D1"/>
    <w:rsid w:val="00CB3881"/>
    <w:rsid w:val="00CB4ED6"/>
    <w:rsid w:val="00CB58A0"/>
    <w:rsid w:val="00CB6538"/>
    <w:rsid w:val="00CB6691"/>
    <w:rsid w:val="00CB72D0"/>
    <w:rsid w:val="00CB74DE"/>
    <w:rsid w:val="00CB76B6"/>
    <w:rsid w:val="00CC0145"/>
    <w:rsid w:val="00CC28B8"/>
    <w:rsid w:val="00CC370F"/>
    <w:rsid w:val="00CC4D67"/>
    <w:rsid w:val="00CC4F46"/>
    <w:rsid w:val="00CC705A"/>
    <w:rsid w:val="00CC709A"/>
    <w:rsid w:val="00CC7BEA"/>
    <w:rsid w:val="00CD0218"/>
    <w:rsid w:val="00CD1B36"/>
    <w:rsid w:val="00CD20DD"/>
    <w:rsid w:val="00CD22BC"/>
    <w:rsid w:val="00CD2348"/>
    <w:rsid w:val="00CD2B03"/>
    <w:rsid w:val="00CD2F94"/>
    <w:rsid w:val="00CD31CB"/>
    <w:rsid w:val="00CD3FD4"/>
    <w:rsid w:val="00CD49DC"/>
    <w:rsid w:val="00CD5A78"/>
    <w:rsid w:val="00CD5BA4"/>
    <w:rsid w:val="00CD5D6F"/>
    <w:rsid w:val="00CD5E07"/>
    <w:rsid w:val="00CD6C1A"/>
    <w:rsid w:val="00CD7192"/>
    <w:rsid w:val="00CD7625"/>
    <w:rsid w:val="00CE1120"/>
    <w:rsid w:val="00CE3498"/>
    <w:rsid w:val="00CE37BA"/>
    <w:rsid w:val="00CE4C95"/>
    <w:rsid w:val="00CF029B"/>
    <w:rsid w:val="00CF047C"/>
    <w:rsid w:val="00CF0FDD"/>
    <w:rsid w:val="00CF1B89"/>
    <w:rsid w:val="00CF33D9"/>
    <w:rsid w:val="00CF4DF5"/>
    <w:rsid w:val="00CF50AC"/>
    <w:rsid w:val="00CF576E"/>
    <w:rsid w:val="00CF6538"/>
    <w:rsid w:val="00CF66AD"/>
    <w:rsid w:val="00CF7026"/>
    <w:rsid w:val="00D00005"/>
    <w:rsid w:val="00D005FE"/>
    <w:rsid w:val="00D01DBA"/>
    <w:rsid w:val="00D030EA"/>
    <w:rsid w:val="00D03EE4"/>
    <w:rsid w:val="00D04A4A"/>
    <w:rsid w:val="00D06E5E"/>
    <w:rsid w:val="00D07110"/>
    <w:rsid w:val="00D07302"/>
    <w:rsid w:val="00D07963"/>
    <w:rsid w:val="00D105E1"/>
    <w:rsid w:val="00D109B7"/>
    <w:rsid w:val="00D10C61"/>
    <w:rsid w:val="00D112C2"/>
    <w:rsid w:val="00D11BDB"/>
    <w:rsid w:val="00D13BB0"/>
    <w:rsid w:val="00D14784"/>
    <w:rsid w:val="00D1493C"/>
    <w:rsid w:val="00D15905"/>
    <w:rsid w:val="00D15AAD"/>
    <w:rsid w:val="00D1707F"/>
    <w:rsid w:val="00D17959"/>
    <w:rsid w:val="00D21943"/>
    <w:rsid w:val="00D22C77"/>
    <w:rsid w:val="00D24274"/>
    <w:rsid w:val="00D25D99"/>
    <w:rsid w:val="00D272C0"/>
    <w:rsid w:val="00D275B2"/>
    <w:rsid w:val="00D27862"/>
    <w:rsid w:val="00D31090"/>
    <w:rsid w:val="00D32E3C"/>
    <w:rsid w:val="00D335B3"/>
    <w:rsid w:val="00D33ADA"/>
    <w:rsid w:val="00D36997"/>
    <w:rsid w:val="00D37021"/>
    <w:rsid w:val="00D37543"/>
    <w:rsid w:val="00D41571"/>
    <w:rsid w:val="00D41EF7"/>
    <w:rsid w:val="00D43341"/>
    <w:rsid w:val="00D43BFD"/>
    <w:rsid w:val="00D43DA2"/>
    <w:rsid w:val="00D44281"/>
    <w:rsid w:val="00D45878"/>
    <w:rsid w:val="00D46D11"/>
    <w:rsid w:val="00D479C1"/>
    <w:rsid w:val="00D47BBD"/>
    <w:rsid w:val="00D500AD"/>
    <w:rsid w:val="00D50BD3"/>
    <w:rsid w:val="00D52607"/>
    <w:rsid w:val="00D53081"/>
    <w:rsid w:val="00D53625"/>
    <w:rsid w:val="00D539C5"/>
    <w:rsid w:val="00D540D9"/>
    <w:rsid w:val="00D544BA"/>
    <w:rsid w:val="00D54980"/>
    <w:rsid w:val="00D550F3"/>
    <w:rsid w:val="00D55269"/>
    <w:rsid w:val="00D56BB2"/>
    <w:rsid w:val="00D56D02"/>
    <w:rsid w:val="00D605B4"/>
    <w:rsid w:val="00D61A3C"/>
    <w:rsid w:val="00D62A54"/>
    <w:rsid w:val="00D64179"/>
    <w:rsid w:val="00D64AEE"/>
    <w:rsid w:val="00D666A9"/>
    <w:rsid w:val="00D66842"/>
    <w:rsid w:val="00D7036E"/>
    <w:rsid w:val="00D70FC9"/>
    <w:rsid w:val="00D7318A"/>
    <w:rsid w:val="00D731E5"/>
    <w:rsid w:val="00D74AF6"/>
    <w:rsid w:val="00D74B5E"/>
    <w:rsid w:val="00D754FE"/>
    <w:rsid w:val="00D758D6"/>
    <w:rsid w:val="00D75E8A"/>
    <w:rsid w:val="00D76E54"/>
    <w:rsid w:val="00D772B7"/>
    <w:rsid w:val="00D77320"/>
    <w:rsid w:val="00D7790A"/>
    <w:rsid w:val="00D80E61"/>
    <w:rsid w:val="00D81261"/>
    <w:rsid w:val="00D8164D"/>
    <w:rsid w:val="00D846F7"/>
    <w:rsid w:val="00D8480D"/>
    <w:rsid w:val="00D850E3"/>
    <w:rsid w:val="00D851B4"/>
    <w:rsid w:val="00D869CA"/>
    <w:rsid w:val="00D874C1"/>
    <w:rsid w:val="00D917C9"/>
    <w:rsid w:val="00D921CA"/>
    <w:rsid w:val="00D9374C"/>
    <w:rsid w:val="00D947F2"/>
    <w:rsid w:val="00D957BF"/>
    <w:rsid w:val="00D95EFC"/>
    <w:rsid w:val="00D96F38"/>
    <w:rsid w:val="00D97016"/>
    <w:rsid w:val="00D973CD"/>
    <w:rsid w:val="00D97725"/>
    <w:rsid w:val="00DA060E"/>
    <w:rsid w:val="00DA0BE9"/>
    <w:rsid w:val="00DA1B7C"/>
    <w:rsid w:val="00DA2A3A"/>
    <w:rsid w:val="00DA340D"/>
    <w:rsid w:val="00DA3676"/>
    <w:rsid w:val="00DA3917"/>
    <w:rsid w:val="00DA47F6"/>
    <w:rsid w:val="00DA5644"/>
    <w:rsid w:val="00DA69A7"/>
    <w:rsid w:val="00DA73AC"/>
    <w:rsid w:val="00DA7BFD"/>
    <w:rsid w:val="00DA7D9D"/>
    <w:rsid w:val="00DB0BE3"/>
    <w:rsid w:val="00DB201E"/>
    <w:rsid w:val="00DB2278"/>
    <w:rsid w:val="00DB324E"/>
    <w:rsid w:val="00DB3530"/>
    <w:rsid w:val="00DB39AE"/>
    <w:rsid w:val="00DB3A5C"/>
    <w:rsid w:val="00DB51E1"/>
    <w:rsid w:val="00DB5B2E"/>
    <w:rsid w:val="00DB5D0C"/>
    <w:rsid w:val="00DB74A4"/>
    <w:rsid w:val="00DB787F"/>
    <w:rsid w:val="00DB7B8E"/>
    <w:rsid w:val="00DC0301"/>
    <w:rsid w:val="00DC063F"/>
    <w:rsid w:val="00DC0FDA"/>
    <w:rsid w:val="00DC0FFE"/>
    <w:rsid w:val="00DC1492"/>
    <w:rsid w:val="00DC2A12"/>
    <w:rsid w:val="00DC2BB7"/>
    <w:rsid w:val="00DC3092"/>
    <w:rsid w:val="00DC453B"/>
    <w:rsid w:val="00DC48A2"/>
    <w:rsid w:val="00DC5110"/>
    <w:rsid w:val="00DC5DA9"/>
    <w:rsid w:val="00DC6DE5"/>
    <w:rsid w:val="00DD04E3"/>
    <w:rsid w:val="00DD08BA"/>
    <w:rsid w:val="00DD1EDC"/>
    <w:rsid w:val="00DD2A18"/>
    <w:rsid w:val="00DD4532"/>
    <w:rsid w:val="00DD4878"/>
    <w:rsid w:val="00DD6821"/>
    <w:rsid w:val="00DD6983"/>
    <w:rsid w:val="00DD7253"/>
    <w:rsid w:val="00DE0C74"/>
    <w:rsid w:val="00DE1546"/>
    <w:rsid w:val="00DE2810"/>
    <w:rsid w:val="00DE6477"/>
    <w:rsid w:val="00DE704B"/>
    <w:rsid w:val="00DE77D1"/>
    <w:rsid w:val="00DF0034"/>
    <w:rsid w:val="00DF00DE"/>
    <w:rsid w:val="00DF0259"/>
    <w:rsid w:val="00DF0701"/>
    <w:rsid w:val="00DF085C"/>
    <w:rsid w:val="00DF0F04"/>
    <w:rsid w:val="00DF1640"/>
    <w:rsid w:val="00DF2EED"/>
    <w:rsid w:val="00DF2F7E"/>
    <w:rsid w:val="00DF3FBD"/>
    <w:rsid w:val="00DF403B"/>
    <w:rsid w:val="00DF4910"/>
    <w:rsid w:val="00DF4A9F"/>
    <w:rsid w:val="00DF57AA"/>
    <w:rsid w:val="00DF5CC6"/>
    <w:rsid w:val="00DF64DC"/>
    <w:rsid w:val="00DF7EBD"/>
    <w:rsid w:val="00E03722"/>
    <w:rsid w:val="00E03882"/>
    <w:rsid w:val="00E03CA9"/>
    <w:rsid w:val="00E04742"/>
    <w:rsid w:val="00E0577B"/>
    <w:rsid w:val="00E05D71"/>
    <w:rsid w:val="00E064B3"/>
    <w:rsid w:val="00E07580"/>
    <w:rsid w:val="00E07C92"/>
    <w:rsid w:val="00E07CC8"/>
    <w:rsid w:val="00E106FB"/>
    <w:rsid w:val="00E11E1B"/>
    <w:rsid w:val="00E124B3"/>
    <w:rsid w:val="00E12C0A"/>
    <w:rsid w:val="00E134F2"/>
    <w:rsid w:val="00E144FC"/>
    <w:rsid w:val="00E14705"/>
    <w:rsid w:val="00E14BC2"/>
    <w:rsid w:val="00E15848"/>
    <w:rsid w:val="00E16873"/>
    <w:rsid w:val="00E215A0"/>
    <w:rsid w:val="00E21748"/>
    <w:rsid w:val="00E21B16"/>
    <w:rsid w:val="00E22083"/>
    <w:rsid w:val="00E22C86"/>
    <w:rsid w:val="00E23424"/>
    <w:rsid w:val="00E237C9"/>
    <w:rsid w:val="00E23989"/>
    <w:rsid w:val="00E23B75"/>
    <w:rsid w:val="00E25029"/>
    <w:rsid w:val="00E262AA"/>
    <w:rsid w:val="00E26568"/>
    <w:rsid w:val="00E26787"/>
    <w:rsid w:val="00E26C82"/>
    <w:rsid w:val="00E272C0"/>
    <w:rsid w:val="00E27807"/>
    <w:rsid w:val="00E279A0"/>
    <w:rsid w:val="00E27DC1"/>
    <w:rsid w:val="00E3034D"/>
    <w:rsid w:val="00E30B0D"/>
    <w:rsid w:val="00E30B69"/>
    <w:rsid w:val="00E31066"/>
    <w:rsid w:val="00E31C40"/>
    <w:rsid w:val="00E31D58"/>
    <w:rsid w:val="00E33166"/>
    <w:rsid w:val="00E367E3"/>
    <w:rsid w:val="00E37743"/>
    <w:rsid w:val="00E40F70"/>
    <w:rsid w:val="00E41BAC"/>
    <w:rsid w:val="00E41F44"/>
    <w:rsid w:val="00E42795"/>
    <w:rsid w:val="00E43CD1"/>
    <w:rsid w:val="00E4525B"/>
    <w:rsid w:val="00E45C61"/>
    <w:rsid w:val="00E461DB"/>
    <w:rsid w:val="00E5093F"/>
    <w:rsid w:val="00E50A4C"/>
    <w:rsid w:val="00E50C99"/>
    <w:rsid w:val="00E52728"/>
    <w:rsid w:val="00E53320"/>
    <w:rsid w:val="00E53A58"/>
    <w:rsid w:val="00E53C7E"/>
    <w:rsid w:val="00E545A4"/>
    <w:rsid w:val="00E55501"/>
    <w:rsid w:val="00E55584"/>
    <w:rsid w:val="00E55851"/>
    <w:rsid w:val="00E56659"/>
    <w:rsid w:val="00E609FC"/>
    <w:rsid w:val="00E610D4"/>
    <w:rsid w:val="00E62CE2"/>
    <w:rsid w:val="00E63A32"/>
    <w:rsid w:val="00E63D52"/>
    <w:rsid w:val="00E63FE5"/>
    <w:rsid w:val="00E64370"/>
    <w:rsid w:val="00E64670"/>
    <w:rsid w:val="00E65E8F"/>
    <w:rsid w:val="00E65EA8"/>
    <w:rsid w:val="00E67C03"/>
    <w:rsid w:val="00E71289"/>
    <w:rsid w:val="00E72F3E"/>
    <w:rsid w:val="00E73833"/>
    <w:rsid w:val="00E73FB9"/>
    <w:rsid w:val="00E741EC"/>
    <w:rsid w:val="00E7466B"/>
    <w:rsid w:val="00E7553F"/>
    <w:rsid w:val="00E758F1"/>
    <w:rsid w:val="00E75FE0"/>
    <w:rsid w:val="00E773FE"/>
    <w:rsid w:val="00E77505"/>
    <w:rsid w:val="00E77FC8"/>
    <w:rsid w:val="00E80B1B"/>
    <w:rsid w:val="00E8149A"/>
    <w:rsid w:val="00E829D7"/>
    <w:rsid w:val="00E82C37"/>
    <w:rsid w:val="00E83268"/>
    <w:rsid w:val="00E83912"/>
    <w:rsid w:val="00E84202"/>
    <w:rsid w:val="00E84819"/>
    <w:rsid w:val="00E8594C"/>
    <w:rsid w:val="00E85F55"/>
    <w:rsid w:val="00E85FB6"/>
    <w:rsid w:val="00E86465"/>
    <w:rsid w:val="00E86774"/>
    <w:rsid w:val="00E869AE"/>
    <w:rsid w:val="00E9324D"/>
    <w:rsid w:val="00E93EF6"/>
    <w:rsid w:val="00E94A24"/>
    <w:rsid w:val="00E952F3"/>
    <w:rsid w:val="00E9673A"/>
    <w:rsid w:val="00EA1606"/>
    <w:rsid w:val="00EA30ED"/>
    <w:rsid w:val="00EA34E4"/>
    <w:rsid w:val="00EA435A"/>
    <w:rsid w:val="00EA461F"/>
    <w:rsid w:val="00EA47FA"/>
    <w:rsid w:val="00EA4879"/>
    <w:rsid w:val="00EA60A7"/>
    <w:rsid w:val="00EA686E"/>
    <w:rsid w:val="00EB1895"/>
    <w:rsid w:val="00EB25F7"/>
    <w:rsid w:val="00EB3641"/>
    <w:rsid w:val="00EB3DA0"/>
    <w:rsid w:val="00EB3E33"/>
    <w:rsid w:val="00EB4176"/>
    <w:rsid w:val="00EB4400"/>
    <w:rsid w:val="00EB58D6"/>
    <w:rsid w:val="00EB5975"/>
    <w:rsid w:val="00EC2147"/>
    <w:rsid w:val="00EC284C"/>
    <w:rsid w:val="00EC334E"/>
    <w:rsid w:val="00EC4CF1"/>
    <w:rsid w:val="00EC50F1"/>
    <w:rsid w:val="00EC5A73"/>
    <w:rsid w:val="00EC687D"/>
    <w:rsid w:val="00EC77F4"/>
    <w:rsid w:val="00ED0C18"/>
    <w:rsid w:val="00ED2121"/>
    <w:rsid w:val="00ED2633"/>
    <w:rsid w:val="00ED275F"/>
    <w:rsid w:val="00ED29B7"/>
    <w:rsid w:val="00ED3782"/>
    <w:rsid w:val="00ED5242"/>
    <w:rsid w:val="00ED6FF5"/>
    <w:rsid w:val="00ED7AAB"/>
    <w:rsid w:val="00EE0439"/>
    <w:rsid w:val="00EE0C31"/>
    <w:rsid w:val="00EE2A82"/>
    <w:rsid w:val="00EE3C7C"/>
    <w:rsid w:val="00EE4D45"/>
    <w:rsid w:val="00EE5A48"/>
    <w:rsid w:val="00EE6D17"/>
    <w:rsid w:val="00EE6E5D"/>
    <w:rsid w:val="00EE71A6"/>
    <w:rsid w:val="00EE73E8"/>
    <w:rsid w:val="00EE7F7D"/>
    <w:rsid w:val="00EF1AB0"/>
    <w:rsid w:val="00EF1E98"/>
    <w:rsid w:val="00EF246C"/>
    <w:rsid w:val="00EF2FD3"/>
    <w:rsid w:val="00EF54A9"/>
    <w:rsid w:val="00EF54C5"/>
    <w:rsid w:val="00EF6224"/>
    <w:rsid w:val="00EF6482"/>
    <w:rsid w:val="00EF6AAF"/>
    <w:rsid w:val="00EF6E49"/>
    <w:rsid w:val="00F01B95"/>
    <w:rsid w:val="00F0353C"/>
    <w:rsid w:val="00F05E8F"/>
    <w:rsid w:val="00F06880"/>
    <w:rsid w:val="00F078A1"/>
    <w:rsid w:val="00F1283D"/>
    <w:rsid w:val="00F12F6A"/>
    <w:rsid w:val="00F13F62"/>
    <w:rsid w:val="00F143D3"/>
    <w:rsid w:val="00F1465E"/>
    <w:rsid w:val="00F15B7F"/>
    <w:rsid w:val="00F17306"/>
    <w:rsid w:val="00F17A0E"/>
    <w:rsid w:val="00F20F5C"/>
    <w:rsid w:val="00F21876"/>
    <w:rsid w:val="00F21D23"/>
    <w:rsid w:val="00F223FC"/>
    <w:rsid w:val="00F22A83"/>
    <w:rsid w:val="00F22D09"/>
    <w:rsid w:val="00F23EBD"/>
    <w:rsid w:val="00F2404C"/>
    <w:rsid w:val="00F24E3F"/>
    <w:rsid w:val="00F2563D"/>
    <w:rsid w:val="00F25B91"/>
    <w:rsid w:val="00F26405"/>
    <w:rsid w:val="00F271BA"/>
    <w:rsid w:val="00F3202D"/>
    <w:rsid w:val="00F337DC"/>
    <w:rsid w:val="00F358E3"/>
    <w:rsid w:val="00F36776"/>
    <w:rsid w:val="00F36781"/>
    <w:rsid w:val="00F36B91"/>
    <w:rsid w:val="00F371F0"/>
    <w:rsid w:val="00F3795A"/>
    <w:rsid w:val="00F40DC0"/>
    <w:rsid w:val="00F411ED"/>
    <w:rsid w:val="00F416B3"/>
    <w:rsid w:val="00F419AC"/>
    <w:rsid w:val="00F424DC"/>
    <w:rsid w:val="00F425D7"/>
    <w:rsid w:val="00F428DB"/>
    <w:rsid w:val="00F42971"/>
    <w:rsid w:val="00F436D0"/>
    <w:rsid w:val="00F43A99"/>
    <w:rsid w:val="00F460E2"/>
    <w:rsid w:val="00F461C2"/>
    <w:rsid w:val="00F464CE"/>
    <w:rsid w:val="00F4675A"/>
    <w:rsid w:val="00F470B1"/>
    <w:rsid w:val="00F50A96"/>
    <w:rsid w:val="00F51152"/>
    <w:rsid w:val="00F5201F"/>
    <w:rsid w:val="00F5277E"/>
    <w:rsid w:val="00F53210"/>
    <w:rsid w:val="00F546D3"/>
    <w:rsid w:val="00F54C5B"/>
    <w:rsid w:val="00F5522B"/>
    <w:rsid w:val="00F5614A"/>
    <w:rsid w:val="00F6099D"/>
    <w:rsid w:val="00F612EB"/>
    <w:rsid w:val="00F62E85"/>
    <w:rsid w:val="00F64646"/>
    <w:rsid w:val="00F64D07"/>
    <w:rsid w:val="00F66C04"/>
    <w:rsid w:val="00F6705C"/>
    <w:rsid w:val="00F6724B"/>
    <w:rsid w:val="00F67E95"/>
    <w:rsid w:val="00F67F56"/>
    <w:rsid w:val="00F747DB"/>
    <w:rsid w:val="00F74BF1"/>
    <w:rsid w:val="00F74C7D"/>
    <w:rsid w:val="00F77750"/>
    <w:rsid w:val="00F77FA1"/>
    <w:rsid w:val="00F80692"/>
    <w:rsid w:val="00F80F98"/>
    <w:rsid w:val="00F8271C"/>
    <w:rsid w:val="00F839EF"/>
    <w:rsid w:val="00F83BD8"/>
    <w:rsid w:val="00F85201"/>
    <w:rsid w:val="00F85938"/>
    <w:rsid w:val="00F85B67"/>
    <w:rsid w:val="00F86391"/>
    <w:rsid w:val="00F86882"/>
    <w:rsid w:val="00F869B6"/>
    <w:rsid w:val="00F86D97"/>
    <w:rsid w:val="00F87BDA"/>
    <w:rsid w:val="00F92773"/>
    <w:rsid w:val="00F92800"/>
    <w:rsid w:val="00F930FE"/>
    <w:rsid w:val="00F93495"/>
    <w:rsid w:val="00F9374C"/>
    <w:rsid w:val="00F93AFF"/>
    <w:rsid w:val="00F9463E"/>
    <w:rsid w:val="00F949C2"/>
    <w:rsid w:val="00F95544"/>
    <w:rsid w:val="00F96CC1"/>
    <w:rsid w:val="00F9708A"/>
    <w:rsid w:val="00FA0193"/>
    <w:rsid w:val="00FA1577"/>
    <w:rsid w:val="00FA2B88"/>
    <w:rsid w:val="00FA2D4A"/>
    <w:rsid w:val="00FA31BC"/>
    <w:rsid w:val="00FA48D7"/>
    <w:rsid w:val="00FA52C0"/>
    <w:rsid w:val="00FA54C8"/>
    <w:rsid w:val="00FA6851"/>
    <w:rsid w:val="00FA710A"/>
    <w:rsid w:val="00FA7556"/>
    <w:rsid w:val="00FA78D2"/>
    <w:rsid w:val="00FA7A0F"/>
    <w:rsid w:val="00FB0C6E"/>
    <w:rsid w:val="00FB2109"/>
    <w:rsid w:val="00FB3EB6"/>
    <w:rsid w:val="00FB3FAB"/>
    <w:rsid w:val="00FB4277"/>
    <w:rsid w:val="00FB451E"/>
    <w:rsid w:val="00FB4B47"/>
    <w:rsid w:val="00FB4DEE"/>
    <w:rsid w:val="00FB4F24"/>
    <w:rsid w:val="00FB529B"/>
    <w:rsid w:val="00FB5515"/>
    <w:rsid w:val="00FB629B"/>
    <w:rsid w:val="00FC112D"/>
    <w:rsid w:val="00FC11CF"/>
    <w:rsid w:val="00FC19B1"/>
    <w:rsid w:val="00FC2124"/>
    <w:rsid w:val="00FC23BB"/>
    <w:rsid w:val="00FC3DEE"/>
    <w:rsid w:val="00FC4076"/>
    <w:rsid w:val="00FC4152"/>
    <w:rsid w:val="00FC4AC7"/>
    <w:rsid w:val="00FC5C70"/>
    <w:rsid w:val="00FC5D3F"/>
    <w:rsid w:val="00FC5EC4"/>
    <w:rsid w:val="00FC6239"/>
    <w:rsid w:val="00FC6C74"/>
    <w:rsid w:val="00FC7527"/>
    <w:rsid w:val="00FC7D1B"/>
    <w:rsid w:val="00FC7E7A"/>
    <w:rsid w:val="00FD0C1A"/>
    <w:rsid w:val="00FD1D98"/>
    <w:rsid w:val="00FD1F28"/>
    <w:rsid w:val="00FD2E02"/>
    <w:rsid w:val="00FD5B91"/>
    <w:rsid w:val="00FD6645"/>
    <w:rsid w:val="00FD6826"/>
    <w:rsid w:val="00FD6B8F"/>
    <w:rsid w:val="00FD73ED"/>
    <w:rsid w:val="00FD77C9"/>
    <w:rsid w:val="00FD7DF1"/>
    <w:rsid w:val="00FE0A2E"/>
    <w:rsid w:val="00FE139A"/>
    <w:rsid w:val="00FE3079"/>
    <w:rsid w:val="00FE5AF3"/>
    <w:rsid w:val="00FE675B"/>
    <w:rsid w:val="00FF16A3"/>
    <w:rsid w:val="00FF2318"/>
    <w:rsid w:val="00FF341C"/>
    <w:rsid w:val="00FF37F5"/>
    <w:rsid w:val="00FF42A7"/>
    <w:rsid w:val="00FF458C"/>
    <w:rsid w:val="00FF51F1"/>
    <w:rsid w:val="00FF51F3"/>
    <w:rsid w:val="00FF73B2"/>
    <w:rsid w:val="0112796C"/>
    <w:rsid w:val="015FE44A"/>
    <w:rsid w:val="01608A02"/>
    <w:rsid w:val="016E08B1"/>
    <w:rsid w:val="017528A8"/>
    <w:rsid w:val="017B9AD3"/>
    <w:rsid w:val="01D10BE2"/>
    <w:rsid w:val="01D50C2B"/>
    <w:rsid w:val="01DBBC98"/>
    <w:rsid w:val="0233F066"/>
    <w:rsid w:val="033CE026"/>
    <w:rsid w:val="034D78ED"/>
    <w:rsid w:val="0355CCBD"/>
    <w:rsid w:val="03585899"/>
    <w:rsid w:val="039EBD1D"/>
    <w:rsid w:val="03C9602F"/>
    <w:rsid w:val="040F0662"/>
    <w:rsid w:val="04454F90"/>
    <w:rsid w:val="04B3628A"/>
    <w:rsid w:val="04B81F8A"/>
    <w:rsid w:val="04C7CC48"/>
    <w:rsid w:val="04EB021B"/>
    <w:rsid w:val="04F9AB41"/>
    <w:rsid w:val="050B09A5"/>
    <w:rsid w:val="0518F0D3"/>
    <w:rsid w:val="05326E22"/>
    <w:rsid w:val="056B6BF0"/>
    <w:rsid w:val="05A6DE2C"/>
    <w:rsid w:val="05ABC1E6"/>
    <w:rsid w:val="05E08C27"/>
    <w:rsid w:val="05EE2D8D"/>
    <w:rsid w:val="062E6522"/>
    <w:rsid w:val="0658B3B4"/>
    <w:rsid w:val="06AE6871"/>
    <w:rsid w:val="06B638E6"/>
    <w:rsid w:val="06D2B716"/>
    <w:rsid w:val="07052ED0"/>
    <w:rsid w:val="082DB84D"/>
    <w:rsid w:val="0868C5BF"/>
    <w:rsid w:val="08721020"/>
    <w:rsid w:val="088D895F"/>
    <w:rsid w:val="08B1F74E"/>
    <w:rsid w:val="08BA1C2A"/>
    <w:rsid w:val="08BD1E59"/>
    <w:rsid w:val="08C5215B"/>
    <w:rsid w:val="0918656C"/>
    <w:rsid w:val="0938DC5F"/>
    <w:rsid w:val="095098D6"/>
    <w:rsid w:val="0A09062A"/>
    <w:rsid w:val="0A1B3775"/>
    <w:rsid w:val="0A55E99A"/>
    <w:rsid w:val="0A55EC8B"/>
    <w:rsid w:val="0A5AED8D"/>
    <w:rsid w:val="0B00E69E"/>
    <w:rsid w:val="0B4B3447"/>
    <w:rsid w:val="0B4E75D6"/>
    <w:rsid w:val="0B69F07B"/>
    <w:rsid w:val="0B850E61"/>
    <w:rsid w:val="0BB4C6B1"/>
    <w:rsid w:val="0BD20254"/>
    <w:rsid w:val="0C05E8E5"/>
    <w:rsid w:val="0CAB1047"/>
    <w:rsid w:val="0CD57849"/>
    <w:rsid w:val="0CDCC66D"/>
    <w:rsid w:val="0D3283EF"/>
    <w:rsid w:val="0D66DCC1"/>
    <w:rsid w:val="0D8B82E9"/>
    <w:rsid w:val="0DCFB1F4"/>
    <w:rsid w:val="0DEB0EE3"/>
    <w:rsid w:val="0E408F4A"/>
    <w:rsid w:val="0E5B80AD"/>
    <w:rsid w:val="0E9A5CE4"/>
    <w:rsid w:val="0E9F2F85"/>
    <w:rsid w:val="0EA01FED"/>
    <w:rsid w:val="0EE103B9"/>
    <w:rsid w:val="0EED1699"/>
    <w:rsid w:val="0F2B88E4"/>
    <w:rsid w:val="0F804AEF"/>
    <w:rsid w:val="0F83EE87"/>
    <w:rsid w:val="0FBB403D"/>
    <w:rsid w:val="0FBC1F0B"/>
    <w:rsid w:val="1021C20A"/>
    <w:rsid w:val="10B2B57A"/>
    <w:rsid w:val="10BD5951"/>
    <w:rsid w:val="10F5A23B"/>
    <w:rsid w:val="115C8A0E"/>
    <w:rsid w:val="117CB8DF"/>
    <w:rsid w:val="1199A4D7"/>
    <w:rsid w:val="11AAA6AE"/>
    <w:rsid w:val="11D086DF"/>
    <w:rsid w:val="11F3F35F"/>
    <w:rsid w:val="1207113A"/>
    <w:rsid w:val="122F2E54"/>
    <w:rsid w:val="125CE05E"/>
    <w:rsid w:val="126AF9BE"/>
    <w:rsid w:val="1279EDDE"/>
    <w:rsid w:val="12E7BE80"/>
    <w:rsid w:val="12F5FC5D"/>
    <w:rsid w:val="13096FFE"/>
    <w:rsid w:val="1319067D"/>
    <w:rsid w:val="1325FDA1"/>
    <w:rsid w:val="13531E0B"/>
    <w:rsid w:val="136AD0B8"/>
    <w:rsid w:val="13732F47"/>
    <w:rsid w:val="13928ED9"/>
    <w:rsid w:val="13B2048B"/>
    <w:rsid w:val="13EDB296"/>
    <w:rsid w:val="1402703A"/>
    <w:rsid w:val="1420DEE9"/>
    <w:rsid w:val="142BE3CB"/>
    <w:rsid w:val="14509B42"/>
    <w:rsid w:val="14AC2634"/>
    <w:rsid w:val="14DCBD34"/>
    <w:rsid w:val="1514B8AF"/>
    <w:rsid w:val="152B9421"/>
    <w:rsid w:val="1544DB5E"/>
    <w:rsid w:val="15493E15"/>
    <w:rsid w:val="1549E52C"/>
    <w:rsid w:val="1554561B"/>
    <w:rsid w:val="1569C32F"/>
    <w:rsid w:val="15A684B2"/>
    <w:rsid w:val="15C74787"/>
    <w:rsid w:val="16097F07"/>
    <w:rsid w:val="161570F5"/>
    <w:rsid w:val="165F7F3F"/>
    <w:rsid w:val="1734CBA7"/>
    <w:rsid w:val="1738E9B4"/>
    <w:rsid w:val="173DE1E2"/>
    <w:rsid w:val="177CC9E7"/>
    <w:rsid w:val="18431B0F"/>
    <w:rsid w:val="18CF7408"/>
    <w:rsid w:val="19080FDB"/>
    <w:rsid w:val="197D5650"/>
    <w:rsid w:val="19B5F3C7"/>
    <w:rsid w:val="19CFFEB1"/>
    <w:rsid w:val="19FE62E6"/>
    <w:rsid w:val="1A06E537"/>
    <w:rsid w:val="1A12FC45"/>
    <w:rsid w:val="1AB183A1"/>
    <w:rsid w:val="1ACAD1F5"/>
    <w:rsid w:val="1B5EF818"/>
    <w:rsid w:val="1BA3841C"/>
    <w:rsid w:val="1BAC3C73"/>
    <w:rsid w:val="1BCCF08A"/>
    <w:rsid w:val="1C342D5A"/>
    <w:rsid w:val="1CC1C444"/>
    <w:rsid w:val="1D0D0941"/>
    <w:rsid w:val="1D3464A3"/>
    <w:rsid w:val="1D408AF0"/>
    <w:rsid w:val="1DC6EDF8"/>
    <w:rsid w:val="1E1EBF07"/>
    <w:rsid w:val="1E365DC3"/>
    <w:rsid w:val="1E6C9900"/>
    <w:rsid w:val="1E737CD8"/>
    <w:rsid w:val="1E86FC28"/>
    <w:rsid w:val="1EB3B03A"/>
    <w:rsid w:val="1F1DABD8"/>
    <w:rsid w:val="1F550170"/>
    <w:rsid w:val="1F6CB4E8"/>
    <w:rsid w:val="1F8CD413"/>
    <w:rsid w:val="1FFEA286"/>
    <w:rsid w:val="20047CE3"/>
    <w:rsid w:val="20BE3D70"/>
    <w:rsid w:val="2120257D"/>
    <w:rsid w:val="216209BB"/>
    <w:rsid w:val="217D8B31"/>
    <w:rsid w:val="21BA7334"/>
    <w:rsid w:val="21C4952B"/>
    <w:rsid w:val="21E1D079"/>
    <w:rsid w:val="22482D66"/>
    <w:rsid w:val="226BDF5D"/>
    <w:rsid w:val="228903F5"/>
    <w:rsid w:val="22E0F0ED"/>
    <w:rsid w:val="230DD13C"/>
    <w:rsid w:val="2357A477"/>
    <w:rsid w:val="2375E3BB"/>
    <w:rsid w:val="24890279"/>
    <w:rsid w:val="24D76F01"/>
    <w:rsid w:val="24DB44E0"/>
    <w:rsid w:val="24DC2EB0"/>
    <w:rsid w:val="24E30E52"/>
    <w:rsid w:val="253B8BD3"/>
    <w:rsid w:val="2556C99A"/>
    <w:rsid w:val="258788B1"/>
    <w:rsid w:val="26363975"/>
    <w:rsid w:val="2643DB80"/>
    <w:rsid w:val="2661DE76"/>
    <w:rsid w:val="266EB0C5"/>
    <w:rsid w:val="26888576"/>
    <w:rsid w:val="2699434C"/>
    <w:rsid w:val="269B0B5B"/>
    <w:rsid w:val="26D4466C"/>
    <w:rsid w:val="26F633A8"/>
    <w:rsid w:val="27457CD3"/>
    <w:rsid w:val="27621955"/>
    <w:rsid w:val="2764D0D3"/>
    <w:rsid w:val="2803A243"/>
    <w:rsid w:val="282567B8"/>
    <w:rsid w:val="284854D8"/>
    <w:rsid w:val="288CD15F"/>
    <w:rsid w:val="28D9C8B1"/>
    <w:rsid w:val="29062B6D"/>
    <w:rsid w:val="29174D8E"/>
    <w:rsid w:val="299F18E2"/>
    <w:rsid w:val="29D5C320"/>
    <w:rsid w:val="29DD30F0"/>
    <w:rsid w:val="29F367D2"/>
    <w:rsid w:val="2A0B5E6F"/>
    <w:rsid w:val="2A2B366D"/>
    <w:rsid w:val="2A7D7D07"/>
    <w:rsid w:val="2A9076BF"/>
    <w:rsid w:val="2A932FCE"/>
    <w:rsid w:val="2AF61A04"/>
    <w:rsid w:val="2B3287D2"/>
    <w:rsid w:val="2B5927FF"/>
    <w:rsid w:val="2B97F64E"/>
    <w:rsid w:val="2B9A7C1E"/>
    <w:rsid w:val="2BB064C6"/>
    <w:rsid w:val="2BB75F8E"/>
    <w:rsid w:val="2BC52C08"/>
    <w:rsid w:val="2BC65D20"/>
    <w:rsid w:val="2C0509E9"/>
    <w:rsid w:val="2C0745AC"/>
    <w:rsid w:val="2C0A2DF4"/>
    <w:rsid w:val="2C421F3F"/>
    <w:rsid w:val="2C4C7C87"/>
    <w:rsid w:val="2C6EC6E5"/>
    <w:rsid w:val="2C9D3E0C"/>
    <w:rsid w:val="2D1079DB"/>
    <w:rsid w:val="2D1A646D"/>
    <w:rsid w:val="2D6FD269"/>
    <w:rsid w:val="2D98E0EF"/>
    <w:rsid w:val="2DD68913"/>
    <w:rsid w:val="2DD80004"/>
    <w:rsid w:val="2E03F450"/>
    <w:rsid w:val="2E4A7780"/>
    <w:rsid w:val="2E92F95C"/>
    <w:rsid w:val="2EC9E56F"/>
    <w:rsid w:val="2EEA32E8"/>
    <w:rsid w:val="2EF6C851"/>
    <w:rsid w:val="2F545025"/>
    <w:rsid w:val="2F9B287C"/>
    <w:rsid w:val="2FA6D50E"/>
    <w:rsid w:val="2FDE450A"/>
    <w:rsid w:val="301FC207"/>
    <w:rsid w:val="30A0E596"/>
    <w:rsid w:val="30B464AD"/>
    <w:rsid w:val="30F02086"/>
    <w:rsid w:val="3129073C"/>
    <w:rsid w:val="31CFD5D4"/>
    <w:rsid w:val="31E3B6BC"/>
    <w:rsid w:val="321A73E4"/>
    <w:rsid w:val="324BD59A"/>
    <w:rsid w:val="326ABA97"/>
    <w:rsid w:val="32B361B6"/>
    <w:rsid w:val="32BF57D7"/>
    <w:rsid w:val="32C59F2A"/>
    <w:rsid w:val="32C64969"/>
    <w:rsid w:val="32F7930D"/>
    <w:rsid w:val="32FAFC1E"/>
    <w:rsid w:val="33087E29"/>
    <w:rsid w:val="33598B15"/>
    <w:rsid w:val="33AC4E1B"/>
    <w:rsid w:val="33B8F056"/>
    <w:rsid w:val="33DD9F44"/>
    <w:rsid w:val="33EE6AB2"/>
    <w:rsid w:val="3425C10E"/>
    <w:rsid w:val="3439F4EF"/>
    <w:rsid w:val="3445BD00"/>
    <w:rsid w:val="346B398D"/>
    <w:rsid w:val="34822529"/>
    <w:rsid w:val="34968490"/>
    <w:rsid w:val="34DECF7E"/>
    <w:rsid w:val="3518C0DB"/>
    <w:rsid w:val="354E84DB"/>
    <w:rsid w:val="358563E8"/>
    <w:rsid w:val="359C37D8"/>
    <w:rsid w:val="35B92293"/>
    <w:rsid w:val="35DEADB2"/>
    <w:rsid w:val="3669D9AA"/>
    <w:rsid w:val="36852FB7"/>
    <w:rsid w:val="36A79C6C"/>
    <w:rsid w:val="36C8BF3F"/>
    <w:rsid w:val="36EEF151"/>
    <w:rsid w:val="3727BD9C"/>
    <w:rsid w:val="374058EF"/>
    <w:rsid w:val="3759976B"/>
    <w:rsid w:val="37FB5159"/>
    <w:rsid w:val="3827C3F8"/>
    <w:rsid w:val="386DC4E8"/>
    <w:rsid w:val="387FE0CA"/>
    <w:rsid w:val="397FD37A"/>
    <w:rsid w:val="39DF0FA4"/>
    <w:rsid w:val="39EC1B72"/>
    <w:rsid w:val="3A549124"/>
    <w:rsid w:val="3A82D51F"/>
    <w:rsid w:val="3A854A33"/>
    <w:rsid w:val="3A8C67E6"/>
    <w:rsid w:val="3AA661A4"/>
    <w:rsid w:val="3AC1F73E"/>
    <w:rsid w:val="3ACFAA09"/>
    <w:rsid w:val="3AFE9E8B"/>
    <w:rsid w:val="3BA3613C"/>
    <w:rsid w:val="3BC79F6D"/>
    <w:rsid w:val="3C2B4E49"/>
    <w:rsid w:val="3C32A502"/>
    <w:rsid w:val="3C8E3A8A"/>
    <w:rsid w:val="3CD1DF6D"/>
    <w:rsid w:val="3CDC3F83"/>
    <w:rsid w:val="3D128A7B"/>
    <w:rsid w:val="3D48FAFC"/>
    <w:rsid w:val="3D929D2D"/>
    <w:rsid w:val="3DD44A4E"/>
    <w:rsid w:val="3DD7A923"/>
    <w:rsid w:val="3DFA4C3C"/>
    <w:rsid w:val="3E01B9E7"/>
    <w:rsid w:val="3F07662F"/>
    <w:rsid w:val="3F19968D"/>
    <w:rsid w:val="3F3FB324"/>
    <w:rsid w:val="3FB7BB87"/>
    <w:rsid w:val="3FFC5F5A"/>
    <w:rsid w:val="40436B7D"/>
    <w:rsid w:val="40484E0D"/>
    <w:rsid w:val="406DC306"/>
    <w:rsid w:val="40786B76"/>
    <w:rsid w:val="40B135D1"/>
    <w:rsid w:val="412DB216"/>
    <w:rsid w:val="413A4FC3"/>
    <w:rsid w:val="41519496"/>
    <w:rsid w:val="4177060E"/>
    <w:rsid w:val="418426F9"/>
    <w:rsid w:val="4211A6A1"/>
    <w:rsid w:val="4244A537"/>
    <w:rsid w:val="428D56F4"/>
    <w:rsid w:val="42A88164"/>
    <w:rsid w:val="42C08059"/>
    <w:rsid w:val="42E2E8ED"/>
    <w:rsid w:val="42E563C6"/>
    <w:rsid w:val="4313BBDA"/>
    <w:rsid w:val="4334A068"/>
    <w:rsid w:val="43583AB3"/>
    <w:rsid w:val="4377E6DD"/>
    <w:rsid w:val="43AD4C15"/>
    <w:rsid w:val="43AEEE34"/>
    <w:rsid w:val="43C435EC"/>
    <w:rsid w:val="43D97552"/>
    <w:rsid w:val="43DCD169"/>
    <w:rsid w:val="44827E4C"/>
    <w:rsid w:val="448B2662"/>
    <w:rsid w:val="449908E9"/>
    <w:rsid w:val="44E78601"/>
    <w:rsid w:val="44F2318D"/>
    <w:rsid w:val="451F559D"/>
    <w:rsid w:val="456B02B2"/>
    <w:rsid w:val="45729469"/>
    <w:rsid w:val="45E7FADC"/>
    <w:rsid w:val="46012339"/>
    <w:rsid w:val="46882727"/>
    <w:rsid w:val="46FEFB28"/>
    <w:rsid w:val="4734CF1C"/>
    <w:rsid w:val="47579642"/>
    <w:rsid w:val="47A1AABA"/>
    <w:rsid w:val="47FA77D5"/>
    <w:rsid w:val="48722032"/>
    <w:rsid w:val="48C518D4"/>
    <w:rsid w:val="48D0CDE2"/>
    <w:rsid w:val="48E2B53D"/>
    <w:rsid w:val="48FB1751"/>
    <w:rsid w:val="4904619D"/>
    <w:rsid w:val="4918D719"/>
    <w:rsid w:val="497BBE52"/>
    <w:rsid w:val="49836D98"/>
    <w:rsid w:val="498EFEC5"/>
    <w:rsid w:val="49925318"/>
    <w:rsid w:val="49B61BD8"/>
    <w:rsid w:val="4ABBF40A"/>
    <w:rsid w:val="4B0112F5"/>
    <w:rsid w:val="4B62090F"/>
    <w:rsid w:val="4B7F23E2"/>
    <w:rsid w:val="4B8321FF"/>
    <w:rsid w:val="4BF2B6D8"/>
    <w:rsid w:val="4BFABF25"/>
    <w:rsid w:val="4C1F5BC4"/>
    <w:rsid w:val="4C30B8E7"/>
    <w:rsid w:val="4C717F1A"/>
    <w:rsid w:val="4CB22945"/>
    <w:rsid w:val="4D5ABBA1"/>
    <w:rsid w:val="4D9A2067"/>
    <w:rsid w:val="4DB8BB57"/>
    <w:rsid w:val="4DBC43D9"/>
    <w:rsid w:val="4DC1FFF7"/>
    <w:rsid w:val="4DD4E168"/>
    <w:rsid w:val="4DD5AF68"/>
    <w:rsid w:val="4E753FEA"/>
    <w:rsid w:val="4F038765"/>
    <w:rsid w:val="4F058E44"/>
    <w:rsid w:val="4F2E2F1E"/>
    <w:rsid w:val="4F32DBFC"/>
    <w:rsid w:val="4F4859CB"/>
    <w:rsid w:val="4F5E79EA"/>
    <w:rsid w:val="4F5F82BB"/>
    <w:rsid w:val="4FF721F4"/>
    <w:rsid w:val="5049197B"/>
    <w:rsid w:val="5099AE7B"/>
    <w:rsid w:val="50AF0F33"/>
    <w:rsid w:val="50BDF223"/>
    <w:rsid w:val="50DE479B"/>
    <w:rsid w:val="51479FC6"/>
    <w:rsid w:val="514DEA09"/>
    <w:rsid w:val="5176438A"/>
    <w:rsid w:val="51928EF5"/>
    <w:rsid w:val="523683CF"/>
    <w:rsid w:val="5293D46C"/>
    <w:rsid w:val="529FE256"/>
    <w:rsid w:val="52B1A110"/>
    <w:rsid w:val="52BEDA52"/>
    <w:rsid w:val="52C5C03F"/>
    <w:rsid w:val="52EC0980"/>
    <w:rsid w:val="52FD166F"/>
    <w:rsid w:val="53B000DE"/>
    <w:rsid w:val="53C4D9FD"/>
    <w:rsid w:val="53CFE7AD"/>
    <w:rsid w:val="53F6C946"/>
    <w:rsid w:val="54574A84"/>
    <w:rsid w:val="54A70665"/>
    <w:rsid w:val="54A919C8"/>
    <w:rsid w:val="5528BEC2"/>
    <w:rsid w:val="5548CD64"/>
    <w:rsid w:val="555ED006"/>
    <w:rsid w:val="55EE35C7"/>
    <w:rsid w:val="56524705"/>
    <w:rsid w:val="565C78BD"/>
    <w:rsid w:val="566C3B0B"/>
    <w:rsid w:val="569EB0DC"/>
    <w:rsid w:val="56E9B2D0"/>
    <w:rsid w:val="56FEECEB"/>
    <w:rsid w:val="571599C4"/>
    <w:rsid w:val="571B764E"/>
    <w:rsid w:val="576D43FE"/>
    <w:rsid w:val="5774CF84"/>
    <w:rsid w:val="57919286"/>
    <w:rsid w:val="57A1C297"/>
    <w:rsid w:val="5800BC9E"/>
    <w:rsid w:val="5803285C"/>
    <w:rsid w:val="584662A8"/>
    <w:rsid w:val="5850CB99"/>
    <w:rsid w:val="58A61FB5"/>
    <w:rsid w:val="58C11E6E"/>
    <w:rsid w:val="594FA337"/>
    <w:rsid w:val="59731DB7"/>
    <w:rsid w:val="59838750"/>
    <w:rsid w:val="598B8390"/>
    <w:rsid w:val="5994197F"/>
    <w:rsid w:val="59B2DC0D"/>
    <w:rsid w:val="59B45986"/>
    <w:rsid w:val="59BF9BCD"/>
    <w:rsid w:val="59CA09C4"/>
    <w:rsid w:val="5A170927"/>
    <w:rsid w:val="5A4F37FB"/>
    <w:rsid w:val="5A5BD850"/>
    <w:rsid w:val="5AA051E2"/>
    <w:rsid w:val="5AAC7418"/>
    <w:rsid w:val="5AB249DF"/>
    <w:rsid w:val="5AD2CF5D"/>
    <w:rsid w:val="5B102C01"/>
    <w:rsid w:val="5B1E30B1"/>
    <w:rsid w:val="5B3CD14D"/>
    <w:rsid w:val="5B9068C5"/>
    <w:rsid w:val="5BC86721"/>
    <w:rsid w:val="5BCF4998"/>
    <w:rsid w:val="5C38E97D"/>
    <w:rsid w:val="5C754DB0"/>
    <w:rsid w:val="5C76A23F"/>
    <w:rsid w:val="5CAAAF35"/>
    <w:rsid w:val="5CD12908"/>
    <w:rsid w:val="5D122823"/>
    <w:rsid w:val="5D2AE12F"/>
    <w:rsid w:val="5D3E0BE9"/>
    <w:rsid w:val="5D42C1EE"/>
    <w:rsid w:val="5D64657F"/>
    <w:rsid w:val="5D7A8993"/>
    <w:rsid w:val="5DBB2D70"/>
    <w:rsid w:val="5E2E06DA"/>
    <w:rsid w:val="5E608273"/>
    <w:rsid w:val="5E6106FB"/>
    <w:rsid w:val="5E7B17FB"/>
    <w:rsid w:val="5E97FDB1"/>
    <w:rsid w:val="5EE142E6"/>
    <w:rsid w:val="5EF689CE"/>
    <w:rsid w:val="5EF9B1EF"/>
    <w:rsid w:val="5F1BC276"/>
    <w:rsid w:val="5F7B7226"/>
    <w:rsid w:val="5FCD6368"/>
    <w:rsid w:val="5FE7E53C"/>
    <w:rsid w:val="5FEC1002"/>
    <w:rsid w:val="5FF55120"/>
    <w:rsid w:val="5FFB00FE"/>
    <w:rsid w:val="600C791C"/>
    <w:rsid w:val="6029133F"/>
    <w:rsid w:val="6071508B"/>
    <w:rsid w:val="6076A5A2"/>
    <w:rsid w:val="6083222E"/>
    <w:rsid w:val="60DD18B8"/>
    <w:rsid w:val="60F6F71E"/>
    <w:rsid w:val="617FACC7"/>
    <w:rsid w:val="620DAE6F"/>
    <w:rsid w:val="621B6BE3"/>
    <w:rsid w:val="621C18CB"/>
    <w:rsid w:val="6220D69A"/>
    <w:rsid w:val="6228858B"/>
    <w:rsid w:val="622EA230"/>
    <w:rsid w:val="627B404B"/>
    <w:rsid w:val="62947B79"/>
    <w:rsid w:val="62C2BBAC"/>
    <w:rsid w:val="62D57BD3"/>
    <w:rsid w:val="62EAA6E5"/>
    <w:rsid w:val="636A7E43"/>
    <w:rsid w:val="63A99798"/>
    <w:rsid w:val="63B3A85B"/>
    <w:rsid w:val="63B73C44"/>
    <w:rsid w:val="63F00D33"/>
    <w:rsid w:val="640B2B2C"/>
    <w:rsid w:val="64127C36"/>
    <w:rsid w:val="641337D3"/>
    <w:rsid w:val="6446A6E9"/>
    <w:rsid w:val="6497B139"/>
    <w:rsid w:val="64B6E117"/>
    <w:rsid w:val="64CA3F45"/>
    <w:rsid w:val="64D7A7F4"/>
    <w:rsid w:val="64F27C22"/>
    <w:rsid w:val="64F60584"/>
    <w:rsid w:val="65338C65"/>
    <w:rsid w:val="65904583"/>
    <w:rsid w:val="65C41ACE"/>
    <w:rsid w:val="677A877F"/>
    <w:rsid w:val="6783EB0F"/>
    <w:rsid w:val="67FD8554"/>
    <w:rsid w:val="68028ABD"/>
    <w:rsid w:val="68182A57"/>
    <w:rsid w:val="6846E7A7"/>
    <w:rsid w:val="687E956F"/>
    <w:rsid w:val="68A1B320"/>
    <w:rsid w:val="691EBDA6"/>
    <w:rsid w:val="69419530"/>
    <w:rsid w:val="69640CD2"/>
    <w:rsid w:val="698C69A1"/>
    <w:rsid w:val="6A348BC4"/>
    <w:rsid w:val="6A5638C8"/>
    <w:rsid w:val="6A8AF270"/>
    <w:rsid w:val="6B0844D7"/>
    <w:rsid w:val="6B36F0B7"/>
    <w:rsid w:val="6B5DE1B8"/>
    <w:rsid w:val="6B68AF76"/>
    <w:rsid w:val="6B8530ED"/>
    <w:rsid w:val="6BAAC258"/>
    <w:rsid w:val="6BCF4076"/>
    <w:rsid w:val="6BF282BB"/>
    <w:rsid w:val="6C3557A6"/>
    <w:rsid w:val="6CAFBD2E"/>
    <w:rsid w:val="6D267CB1"/>
    <w:rsid w:val="6D6C7920"/>
    <w:rsid w:val="6DA08DD8"/>
    <w:rsid w:val="6DBB2B8C"/>
    <w:rsid w:val="6E24CAB4"/>
    <w:rsid w:val="6E5D8A10"/>
    <w:rsid w:val="6EDE3E53"/>
    <w:rsid w:val="6F36CDC3"/>
    <w:rsid w:val="6FA9889F"/>
    <w:rsid w:val="6FBDE580"/>
    <w:rsid w:val="6FE8AAFD"/>
    <w:rsid w:val="70065B56"/>
    <w:rsid w:val="70497DF4"/>
    <w:rsid w:val="70E4E4D9"/>
    <w:rsid w:val="71273DA4"/>
    <w:rsid w:val="716E483E"/>
    <w:rsid w:val="716F567A"/>
    <w:rsid w:val="71BF5C47"/>
    <w:rsid w:val="7217D9B4"/>
    <w:rsid w:val="7225BBAD"/>
    <w:rsid w:val="729932E9"/>
    <w:rsid w:val="72D57BEC"/>
    <w:rsid w:val="72DE08B1"/>
    <w:rsid w:val="72E73E6E"/>
    <w:rsid w:val="72FEC6C7"/>
    <w:rsid w:val="73090426"/>
    <w:rsid w:val="7330E124"/>
    <w:rsid w:val="734ADB4B"/>
    <w:rsid w:val="73880E52"/>
    <w:rsid w:val="73F4FDCC"/>
    <w:rsid w:val="7402D101"/>
    <w:rsid w:val="7418ADDC"/>
    <w:rsid w:val="7455D375"/>
    <w:rsid w:val="745DAFD5"/>
    <w:rsid w:val="74ED1967"/>
    <w:rsid w:val="75247E64"/>
    <w:rsid w:val="752A1467"/>
    <w:rsid w:val="75531DBC"/>
    <w:rsid w:val="75690A4C"/>
    <w:rsid w:val="7589B55A"/>
    <w:rsid w:val="75C08257"/>
    <w:rsid w:val="75D42602"/>
    <w:rsid w:val="75DEA077"/>
    <w:rsid w:val="767B93F1"/>
    <w:rsid w:val="769EB9A7"/>
    <w:rsid w:val="76A471A9"/>
    <w:rsid w:val="76F8D58B"/>
    <w:rsid w:val="774F8FFB"/>
    <w:rsid w:val="7759FF51"/>
    <w:rsid w:val="77688C73"/>
    <w:rsid w:val="77839AEE"/>
    <w:rsid w:val="77CAAD4F"/>
    <w:rsid w:val="77CB1DDC"/>
    <w:rsid w:val="77D4A456"/>
    <w:rsid w:val="77F3CB96"/>
    <w:rsid w:val="78294133"/>
    <w:rsid w:val="787B0644"/>
    <w:rsid w:val="78FFC94D"/>
    <w:rsid w:val="7915D4A9"/>
    <w:rsid w:val="795BA7E7"/>
    <w:rsid w:val="79E53543"/>
    <w:rsid w:val="7A5C1A66"/>
    <w:rsid w:val="7A808637"/>
    <w:rsid w:val="7A993250"/>
    <w:rsid w:val="7AA14517"/>
    <w:rsid w:val="7AC3A9AC"/>
    <w:rsid w:val="7AFDED72"/>
    <w:rsid w:val="7B046876"/>
    <w:rsid w:val="7B26925E"/>
    <w:rsid w:val="7B2A86B7"/>
    <w:rsid w:val="7B908D9F"/>
    <w:rsid w:val="7BCDA750"/>
    <w:rsid w:val="7C083977"/>
    <w:rsid w:val="7C571FA1"/>
    <w:rsid w:val="7C96721E"/>
    <w:rsid w:val="7D437B94"/>
    <w:rsid w:val="7D82478B"/>
    <w:rsid w:val="7D9D9B8C"/>
    <w:rsid w:val="7DA32A3C"/>
    <w:rsid w:val="7DE42E8B"/>
    <w:rsid w:val="7E44BFA1"/>
    <w:rsid w:val="7EA32050"/>
    <w:rsid w:val="7EC47B47"/>
    <w:rsid w:val="7F00746A"/>
    <w:rsid w:val="7F04EDB2"/>
    <w:rsid w:val="7F758476"/>
    <w:rsid w:val="7FA527F6"/>
    <w:rsid w:val="7FB75F6B"/>
    <w:rsid w:val="7FCB66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C0BB"/>
  <w15:chartTrackingRefBased/>
  <w15:docId w15:val="{2D95F6B6-B7C3-42E2-9CD7-7F5F8F4F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983"/>
    <w:pPr>
      <w:spacing w:after="0" w:line="240" w:lineRule="auto"/>
      <w:ind w:left="1440"/>
    </w:pPr>
    <w:rPr>
      <w:rFonts w:asciiTheme="majorHAnsi" w:eastAsiaTheme="majorEastAsia" w:hAnsiTheme="majorHAnsi" w:cstheme="majorBidi"/>
      <w:color w:val="242424"/>
      <w:sz w:val="24"/>
      <w:szCs w:val="24"/>
    </w:rPr>
  </w:style>
  <w:style w:type="paragraph" w:styleId="Heading1">
    <w:name w:val="heading 1"/>
    <w:basedOn w:val="Normal"/>
    <w:next w:val="Normal"/>
    <w:link w:val="Heading1Char"/>
    <w:uiPriority w:val="9"/>
    <w:qFormat/>
    <w:rsid w:val="003005BC"/>
    <w:pPr>
      <w:keepNext/>
      <w:keepLines/>
      <w:numPr>
        <w:numId w:val="1"/>
      </w:numPr>
      <w:spacing w:before="320" w:after="120"/>
      <w:outlineLvl w:val="0"/>
    </w:pPr>
    <w:rPr>
      <w:color w:val="365F91" w:themeColor="accent1" w:themeShade="BF"/>
      <w:sz w:val="32"/>
      <w:szCs w:val="32"/>
    </w:rPr>
  </w:style>
  <w:style w:type="paragraph" w:styleId="Heading2">
    <w:name w:val="heading 2"/>
    <w:basedOn w:val="Normal"/>
    <w:next w:val="Normal"/>
    <w:link w:val="Heading2Char"/>
    <w:uiPriority w:val="9"/>
    <w:unhideWhenUsed/>
    <w:qFormat/>
    <w:rsid w:val="00CA6552"/>
    <w:pPr>
      <w:keepNext/>
      <w:keepLines/>
      <w:numPr>
        <w:ilvl w:val="1"/>
        <w:numId w:val="1"/>
      </w:numPr>
      <w:spacing w:after="120"/>
      <w:ind w:left="1080" w:hanging="360"/>
      <w:outlineLvl w:val="1"/>
    </w:pPr>
    <w:rPr>
      <w:rFonts w:asciiTheme="minorHAnsi" w:hAnsiTheme="minorHAnsi"/>
      <w:color w:val="404040" w:themeColor="text1" w:themeTint="BF"/>
      <w:sz w:val="28"/>
      <w:szCs w:val="28"/>
    </w:rPr>
  </w:style>
  <w:style w:type="paragraph" w:styleId="Heading3">
    <w:name w:val="heading 3"/>
    <w:basedOn w:val="Normal"/>
    <w:next w:val="Normal"/>
    <w:link w:val="Heading3Char"/>
    <w:uiPriority w:val="9"/>
    <w:unhideWhenUsed/>
    <w:qFormat/>
    <w:rsid w:val="00D772B7"/>
    <w:pPr>
      <w:keepNext/>
      <w:keepLines/>
      <w:numPr>
        <w:ilvl w:val="2"/>
        <w:numId w:val="1"/>
      </w:numPr>
      <w:spacing w:before="40"/>
      <w:ind w:left="2074" w:hanging="360"/>
      <w:outlineLvl w:val="2"/>
    </w:pPr>
    <w:rPr>
      <w:color w:val="1F497D" w:themeColor="text2"/>
    </w:rPr>
  </w:style>
  <w:style w:type="paragraph" w:styleId="Heading4">
    <w:name w:val="heading 4"/>
    <w:basedOn w:val="Normal"/>
    <w:next w:val="Normal"/>
    <w:link w:val="Heading4Char"/>
    <w:uiPriority w:val="9"/>
    <w:unhideWhenUsed/>
    <w:qFormat/>
    <w:rsid w:val="00154025"/>
    <w:pPr>
      <w:keepNext/>
      <w:keepLines/>
      <w:numPr>
        <w:ilvl w:val="3"/>
        <w:numId w:val="1"/>
      </w:numPr>
      <w:spacing w:before="40"/>
      <w:ind w:left="1800" w:hanging="360"/>
      <w:outlineLvl w:val="3"/>
    </w:pPr>
    <w:rPr>
      <w:szCs w:val="22"/>
    </w:rPr>
  </w:style>
  <w:style w:type="paragraph" w:styleId="Heading5">
    <w:name w:val="heading 5"/>
    <w:basedOn w:val="Normal"/>
    <w:next w:val="Normal"/>
    <w:link w:val="Heading5Char"/>
    <w:uiPriority w:val="9"/>
    <w:unhideWhenUsed/>
    <w:qFormat/>
    <w:rsid w:val="002D5332"/>
    <w:pPr>
      <w:keepNext/>
      <w:keepLines/>
      <w:numPr>
        <w:ilvl w:val="4"/>
        <w:numId w:val="1"/>
      </w:numPr>
      <w:spacing w:before="40"/>
      <w:ind w:left="2088" w:hanging="360"/>
      <w:outlineLvl w:val="4"/>
    </w:pPr>
    <w:rPr>
      <w:color w:val="1F497D" w:themeColor="text2"/>
      <w:sz w:val="22"/>
      <w:szCs w:val="22"/>
    </w:rPr>
  </w:style>
  <w:style w:type="paragraph" w:styleId="Heading6">
    <w:name w:val="heading 6"/>
    <w:basedOn w:val="Normal"/>
    <w:next w:val="Normal"/>
    <w:link w:val="Heading6Char"/>
    <w:uiPriority w:val="9"/>
    <w:unhideWhenUsed/>
    <w:qFormat/>
    <w:rsid w:val="002D4CA1"/>
    <w:pPr>
      <w:keepNext/>
      <w:keepLines/>
      <w:numPr>
        <w:ilvl w:val="5"/>
        <w:numId w:val="1"/>
      </w:numPr>
      <w:spacing w:before="40"/>
      <w:ind w:left="2520" w:hanging="360"/>
      <w:outlineLvl w:val="5"/>
    </w:pPr>
    <w:rPr>
      <w:iCs/>
      <w:color w:val="000000" w:themeColor="text1"/>
      <w:sz w:val="22"/>
      <w:szCs w:val="21"/>
    </w:rPr>
  </w:style>
  <w:style w:type="paragraph" w:styleId="Heading7">
    <w:name w:val="heading 7"/>
    <w:basedOn w:val="Normal"/>
    <w:next w:val="Normal"/>
    <w:link w:val="Heading7Char"/>
    <w:uiPriority w:val="9"/>
    <w:semiHidden/>
    <w:unhideWhenUsed/>
    <w:qFormat/>
    <w:rsid w:val="00B56149"/>
    <w:pPr>
      <w:keepNext/>
      <w:keepLines/>
      <w:numPr>
        <w:ilvl w:val="6"/>
        <w:numId w:val="1"/>
      </w:numPr>
      <w:spacing w:before="40"/>
      <w:outlineLvl w:val="6"/>
    </w:pPr>
    <w:rPr>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56149"/>
    <w:pPr>
      <w:keepNext/>
      <w:keepLines/>
      <w:numPr>
        <w:ilvl w:val="7"/>
        <w:numId w:val="1"/>
      </w:numPr>
      <w:spacing w:before="40"/>
      <w:outlineLvl w:val="7"/>
    </w:pPr>
    <w:rPr>
      <w:b/>
      <w:bCs/>
      <w:color w:val="1F497D" w:themeColor="text2"/>
    </w:rPr>
  </w:style>
  <w:style w:type="paragraph" w:styleId="Heading9">
    <w:name w:val="heading 9"/>
    <w:basedOn w:val="Normal"/>
    <w:next w:val="Normal"/>
    <w:link w:val="Heading9Char"/>
    <w:uiPriority w:val="9"/>
    <w:semiHidden/>
    <w:unhideWhenUsed/>
    <w:qFormat/>
    <w:rsid w:val="00B56149"/>
    <w:pPr>
      <w:keepNext/>
      <w:keepLines/>
      <w:numPr>
        <w:ilvl w:val="8"/>
        <w:numId w:val="1"/>
      </w:numPr>
      <w:spacing w:before="40"/>
      <w:outlineLvl w:val="8"/>
    </w:pPr>
    <w:rPr>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5B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A6552"/>
    <w:rPr>
      <w:rFonts w:eastAsiaTheme="majorEastAsia" w:cstheme="majorBidi"/>
      <w:color w:val="404040" w:themeColor="text1" w:themeTint="BF"/>
      <w:sz w:val="28"/>
      <w:szCs w:val="28"/>
    </w:rPr>
  </w:style>
  <w:style w:type="character" w:customStyle="1" w:styleId="Heading3Char">
    <w:name w:val="Heading 3 Char"/>
    <w:basedOn w:val="DefaultParagraphFont"/>
    <w:link w:val="Heading3"/>
    <w:uiPriority w:val="9"/>
    <w:rsid w:val="00D772B7"/>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154025"/>
    <w:rPr>
      <w:rFonts w:asciiTheme="majorHAnsi" w:eastAsiaTheme="majorEastAsia" w:hAnsiTheme="majorHAnsi" w:cstheme="majorBidi"/>
      <w:color w:val="242424"/>
      <w:sz w:val="24"/>
      <w:szCs w:val="22"/>
    </w:rPr>
  </w:style>
  <w:style w:type="character" w:customStyle="1" w:styleId="Heading5Char">
    <w:name w:val="Heading 5 Char"/>
    <w:basedOn w:val="DefaultParagraphFont"/>
    <w:link w:val="Heading5"/>
    <w:uiPriority w:val="9"/>
    <w:rsid w:val="002D533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2D4CA1"/>
    <w:rPr>
      <w:rFonts w:asciiTheme="majorHAnsi" w:eastAsiaTheme="majorEastAsia" w:hAnsiTheme="majorHAnsi" w:cstheme="majorBidi"/>
      <w:iCs/>
      <w:color w:val="000000" w:themeColor="text1"/>
      <w:sz w:val="22"/>
      <w:szCs w:val="21"/>
    </w:rPr>
  </w:style>
  <w:style w:type="character" w:customStyle="1" w:styleId="Heading7Char">
    <w:name w:val="Heading 7 Char"/>
    <w:basedOn w:val="DefaultParagraphFont"/>
    <w:link w:val="Heading7"/>
    <w:uiPriority w:val="9"/>
    <w:semiHidden/>
    <w:rsid w:val="00B56149"/>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56149"/>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56149"/>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56149"/>
    <w:rPr>
      <w:b/>
      <w:bCs/>
      <w:smallCaps/>
      <w:color w:val="595959" w:themeColor="text1" w:themeTint="A6"/>
      <w:spacing w:val="6"/>
    </w:rPr>
  </w:style>
  <w:style w:type="paragraph" w:styleId="Title">
    <w:name w:val="Title"/>
    <w:basedOn w:val="Normal"/>
    <w:next w:val="Normal"/>
    <w:link w:val="TitleChar"/>
    <w:uiPriority w:val="10"/>
    <w:qFormat/>
    <w:rsid w:val="00150E69"/>
    <w:pPr>
      <w:contextualSpacing/>
    </w:pPr>
    <w:rPr>
      <w:rFonts w:ascii="Calibri" w:hAnsi="Calibri"/>
      <w:color w:val="4F81BD" w:themeColor="accent1"/>
      <w:spacing w:val="-10"/>
      <w:sz w:val="56"/>
      <w:szCs w:val="56"/>
    </w:rPr>
  </w:style>
  <w:style w:type="character" w:customStyle="1" w:styleId="TitleChar">
    <w:name w:val="Title Char"/>
    <w:basedOn w:val="DefaultParagraphFont"/>
    <w:link w:val="Title"/>
    <w:uiPriority w:val="10"/>
    <w:rsid w:val="00150E69"/>
    <w:rPr>
      <w:rFonts w:ascii="Calibri" w:eastAsiaTheme="majorEastAsia" w:hAnsi="Calibri" w:cstheme="majorBidi"/>
      <w:color w:val="4F81BD" w:themeColor="accent1"/>
      <w:spacing w:val="-10"/>
      <w:sz w:val="56"/>
      <w:szCs w:val="56"/>
    </w:rPr>
  </w:style>
  <w:style w:type="paragraph" w:styleId="Subtitle">
    <w:name w:val="Subtitle"/>
    <w:basedOn w:val="Normal"/>
    <w:next w:val="Normal"/>
    <w:link w:val="SubtitleChar"/>
    <w:uiPriority w:val="11"/>
    <w:qFormat/>
    <w:rsid w:val="00B56149"/>
    <w:pPr>
      <w:numPr>
        <w:ilvl w:val="1"/>
      </w:numPr>
      <w:ind w:left="1440"/>
    </w:pPr>
  </w:style>
  <w:style w:type="character" w:customStyle="1" w:styleId="SubtitleChar">
    <w:name w:val="Subtitle Char"/>
    <w:basedOn w:val="DefaultParagraphFont"/>
    <w:link w:val="Subtitle"/>
    <w:uiPriority w:val="11"/>
    <w:rsid w:val="00B56149"/>
    <w:rPr>
      <w:rFonts w:asciiTheme="majorHAnsi" w:eastAsiaTheme="majorEastAsia" w:hAnsiTheme="majorHAnsi" w:cstheme="majorBidi"/>
      <w:sz w:val="24"/>
      <w:szCs w:val="24"/>
    </w:rPr>
  </w:style>
  <w:style w:type="character" w:styleId="Strong">
    <w:name w:val="Strong"/>
    <w:basedOn w:val="DefaultParagraphFont"/>
    <w:uiPriority w:val="22"/>
    <w:qFormat/>
    <w:rsid w:val="00B56149"/>
    <w:rPr>
      <w:b/>
      <w:bCs/>
    </w:rPr>
  </w:style>
  <w:style w:type="character" w:styleId="Emphasis">
    <w:name w:val="Emphasis"/>
    <w:basedOn w:val="DefaultParagraphFont"/>
    <w:uiPriority w:val="20"/>
    <w:qFormat/>
    <w:rsid w:val="00B56149"/>
    <w:rPr>
      <w:i/>
      <w:iCs/>
    </w:rPr>
  </w:style>
  <w:style w:type="paragraph" w:styleId="NoSpacing">
    <w:name w:val="No Spacing"/>
    <w:uiPriority w:val="1"/>
    <w:qFormat/>
    <w:rsid w:val="00B56149"/>
    <w:pPr>
      <w:spacing w:after="0" w:line="240" w:lineRule="auto"/>
    </w:pPr>
  </w:style>
  <w:style w:type="paragraph" w:styleId="Quote">
    <w:name w:val="Quote"/>
    <w:basedOn w:val="Normal"/>
    <w:next w:val="Normal"/>
    <w:link w:val="QuoteChar"/>
    <w:uiPriority w:val="29"/>
    <w:qFormat/>
    <w:rsid w:val="00B5614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56149"/>
    <w:rPr>
      <w:i/>
      <w:iCs/>
      <w:color w:val="404040" w:themeColor="text1" w:themeTint="BF"/>
    </w:rPr>
  </w:style>
  <w:style w:type="paragraph" w:styleId="IntenseQuote">
    <w:name w:val="Intense Quote"/>
    <w:basedOn w:val="Normal"/>
    <w:next w:val="Normal"/>
    <w:link w:val="IntenseQuoteChar"/>
    <w:uiPriority w:val="30"/>
    <w:qFormat/>
    <w:rsid w:val="00B56149"/>
    <w:pPr>
      <w:pBdr>
        <w:left w:val="single" w:sz="18" w:space="12" w:color="4F81BD" w:themeColor="accent1"/>
      </w:pBdr>
      <w:spacing w:before="100" w:beforeAutospacing="1" w:line="300" w:lineRule="auto"/>
      <w:ind w:left="1224" w:right="1224"/>
    </w:pPr>
    <w:rPr>
      <w:color w:val="4F81BD" w:themeColor="accent1"/>
      <w:sz w:val="28"/>
      <w:szCs w:val="28"/>
    </w:rPr>
  </w:style>
  <w:style w:type="character" w:customStyle="1" w:styleId="IntenseQuoteChar">
    <w:name w:val="Intense Quote Char"/>
    <w:basedOn w:val="DefaultParagraphFont"/>
    <w:link w:val="IntenseQuote"/>
    <w:uiPriority w:val="30"/>
    <w:rsid w:val="00B56149"/>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56149"/>
    <w:rPr>
      <w:i/>
      <w:iCs/>
      <w:color w:val="404040" w:themeColor="text1" w:themeTint="BF"/>
    </w:rPr>
  </w:style>
  <w:style w:type="character" w:styleId="IntenseEmphasis">
    <w:name w:val="Intense Emphasis"/>
    <w:basedOn w:val="DefaultParagraphFont"/>
    <w:uiPriority w:val="21"/>
    <w:qFormat/>
    <w:rsid w:val="00B56149"/>
    <w:rPr>
      <w:b/>
      <w:bCs/>
      <w:i/>
      <w:iCs/>
    </w:rPr>
  </w:style>
  <w:style w:type="character" w:styleId="SubtleReference">
    <w:name w:val="Subtle Reference"/>
    <w:basedOn w:val="DefaultParagraphFont"/>
    <w:uiPriority w:val="31"/>
    <w:qFormat/>
    <w:rsid w:val="00B561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6149"/>
    <w:rPr>
      <w:b/>
      <w:bCs/>
      <w:smallCaps/>
      <w:spacing w:val="5"/>
      <w:u w:val="single"/>
    </w:rPr>
  </w:style>
  <w:style w:type="character" w:styleId="BookTitle">
    <w:name w:val="Book Title"/>
    <w:basedOn w:val="DefaultParagraphFont"/>
    <w:uiPriority w:val="33"/>
    <w:qFormat/>
    <w:rsid w:val="00B56149"/>
    <w:rPr>
      <w:b/>
      <w:bCs/>
      <w:smallCaps/>
    </w:rPr>
  </w:style>
  <w:style w:type="paragraph" w:styleId="TOCHeading">
    <w:name w:val="TOC Heading"/>
    <w:basedOn w:val="Heading1"/>
    <w:next w:val="Normal"/>
    <w:uiPriority w:val="39"/>
    <w:semiHidden/>
    <w:unhideWhenUsed/>
    <w:qFormat/>
    <w:rsid w:val="00B56149"/>
    <w:pPr>
      <w:outlineLvl w:val="9"/>
    </w:pPr>
  </w:style>
  <w:style w:type="paragraph" w:styleId="BodyText">
    <w:name w:val="Body Text"/>
    <w:basedOn w:val="Normal"/>
    <w:link w:val="BodyTextChar"/>
    <w:uiPriority w:val="1"/>
    <w:qFormat/>
    <w:rsid w:val="008D267C"/>
    <w:pPr>
      <w:widowControl w:val="0"/>
      <w:autoSpaceDE w:val="0"/>
      <w:autoSpaceDN w:val="0"/>
    </w:pPr>
    <w:rPr>
      <w:rFonts w:ascii="Calibri" w:eastAsia="Times New Roman" w:hAnsi="Calibri" w:cs="Times New Roman"/>
      <w:lang w:bidi="en-US"/>
    </w:rPr>
  </w:style>
  <w:style w:type="character" w:customStyle="1" w:styleId="BodyTextChar">
    <w:name w:val="Body Text Char"/>
    <w:basedOn w:val="DefaultParagraphFont"/>
    <w:link w:val="BodyText"/>
    <w:uiPriority w:val="1"/>
    <w:rsid w:val="008D267C"/>
    <w:rPr>
      <w:rFonts w:ascii="Calibri" w:eastAsia="Times New Roman" w:hAnsi="Calibri" w:cs="Times New Roman"/>
      <w:color w:val="242424"/>
      <w:sz w:val="24"/>
      <w:szCs w:val="24"/>
      <w:lang w:bidi="en-US"/>
    </w:rPr>
  </w:style>
  <w:style w:type="paragraph" w:styleId="Header">
    <w:name w:val="header"/>
    <w:basedOn w:val="Normal"/>
    <w:link w:val="HeaderChar"/>
    <w:uiPriority w:val="99"/>
    <w:unhideWhenUsed/>
    <w:rsid w:val="00FA2B88"/>
    <w:pPr>
      <w:tabs>
        <w:tab w:val="center" w:pos="4680"/>
        <w:tab w:val="right" w:pos="9360"/>
      </w:tabs>
    </w:pPr>
  </w:style>
  <w:style w:type="character" w:customStyle="1" w:styleId="HeaderChar">
    <w:name w:val="Header Char"/>
    <w:basedOn w:val="DefaultParagraphFont"/>
    <w:link w:val="Header"/>
    <w:uiPriority w:val="99"/>
    <w:rsid w:val="00FA2B88"/>
  </w:style>
  <w:style w:type="paragraph" w:styleId="Footer">
    <w:name w:val="footer"/>
    <w:basedOn w:val="Normal"/>
    <w:link w:val="FooterChar"/>
    <w:uiPriority w:val="99"/>
    <w:unhideWhenUsed/>
    <w:rsid w:val="00FA2B88"/>
    <w:pPr>
      <w:tabs>
        <w:tab w:val="center" w:pos="4680"/>
        <w:tab w:val="right" w:pos="9360"/>
      </w:tabs>
    </w:pPr>
  </w:style>
  <w:style w:type="character" w:customStyle="1" w:styleId="FooterChar">
    <w:name w:val="Footer Char"/>
    <w:basedOn w:val="DefaultParagraphFont"/>
    <w:link w:val="Footer"/>
    <w:uiPriority w:val="99"/>
    <w:rsid w:val="00FA2B88"/>
  </w:style>
  <w:style w:type="paragraph" w:styleId="TOC1">
    <w:name w:val="toc 1"/>
    <w:basedOn w:val="Normal"/>
    <w:next w:val="Normal"/>
    <w:autoRedefine/>
    <w:uiPriority w:val="39"/>
    <w:unhideWhenUsed/>
    <w:rsid w:val="00EF6AAF"/>
    <w:pPr>
      <w:tabs>
        <w:tab w:val="left" w:pos="450"/>
        <w:tab w:val="right" w:leader="dot" w:pos="10214"/>
      </w:tabs>
      <w:spacing w:after="100"/>
      <w:ind w:left="0"/>
    </w:pPr>
    <w:rPr>
      <w:rFonts w:ascii="Calibri" w:hAnsi="Calibri"/>
    </w:rPr>
  </w:style>
  <w:style w:type="character" w:styleId="Hyperlink">
    <w:name w:val="Hyperlink"/>
    <w:basedOn w:val="DefaultParagraphFont"/>
    <w:uiPriority w:val="99"/>
    <w:unhideWhenUsed/>
    <w:rsid w:val="00696E60"/>
    <w:rPr>
      <w:color w:val="0000FF" w:themeColor="hyperlink"/>
      <w:u w:val="single"/>
    </w:rPr>
  </w:style>
  <w:style w:type="paragraph" w:styleId="ListParagraph">
    <w:name w:val="List Paragraph"/>
    <w:basedOn w:val="Normal"/>
    <w:uiPriority w:val="34"/>
    <w:qFormat/>
    <w:rsid w:val="000E2358"/>
    <w:pPr>
      <w:ind w:left="720"/>
      <w:contextualSpacing/>
    </w:pPr>
  </w:style>
  <w:style w:type="character" w:styleId="UnresolvedMention">
    <w:name w:val="Unresolved Mention"/>
    <w:basedOn w:val="DefaultParagraphFont"/>
    <w:uiPriority w:val="99"/>
    <w:semiHidden/>
    <w:unhideWhenUsed/>
    <w:rsid w:val="000E2358"/>
    <w:rPr>
      <w:color w:val="605E5C"/>
      <w:shd w:val="clear" w:color="auto" w:fill="E1DFDD"/>
    </w:rPr>
  </w:style>
  <w:style w:type="character" w:customStyle="1" w:styleId="normaltextrun">
    <w:name w:val="normaltextrun"/>
    <w:basedOn w:val="DefaultParagraphFont"/>
    <w:rsid w:val="00A611FC"/>
  </w:style>
  <w:style w:type="character" w:customStyle="1" w:styleId="eop">
    <w:name w:val="eop"/>
    <w:basedOn w:val="DefaultParagraphFont"/>
    <w:rsid w:val="00A611FC"/>
  </w:style>
  <w:style w:type="character" w:customStyle="1" w:styleId="scxw191352338">
    <w:name w:val="scxw191352338"/>
    <w:basedOn w:val="DefaultParagraphFont"/>
    <w:rsid w:val="00EE2A82"/>
  </w:style>
  <w:style w:type="paragraph" w:customStyle="1" w:styleId="paragraph">
    <w:name w:val="paragraph"/>
    <w:basedOn w:val="Normal"/>
    <w:rsid w:val="00287096"/>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ppendixHeading">
    <w:name w:val="Appendix Heading"/>
    <w:basedOn w:val="BodyText"/>
    <w:qFormat/>
    <w:rsid w:val="00EB3DA0"/>
    <w:pPr>
      <w:ind w:left="-90"/>
      <w:jc w:val="center"/>
    </w:pPr>
    <w:rPr>
      <w:rFonts w:asciiTheme="majorHAnsi" w:hAnsiTheme="majorHAnsi"/>
      <w:b/>
      <w:bCs/>
      <w:sz w:val="32"/>
      <w:szCs w:val="32"/>
    </w:rPr>
  </w:style>
  <w:style w:type="paragraph" w:styleId="TOC2">
    <w:name w:val="toc 2"/>
    <w:basedOn w:val="Normal"/>
    <w:next w:val="Normal"/>
    <w:autoRedefine/>
    <w:uiPriority w:val="39"/>
    <w:unhideWhenUsed/>
    <w:rsid w:val="000E6466"/>
    <w:pPr>
      <w:spacing w:after="100"/>
      <w:ind w:left="240"/>
    </w:pPr>
  </w:style>
  <w:style w:type="paragraph" w:styleId="CommentSubject">
    <w:name w:val="annotation subject"/>
    <w:basedOn w:val="CommentText"/>
    <w:next w:val="CommentText"/>
    <w:link w:val="CommentSubjectChar"/>
    <w:uiPriority w:val="99"/>
    <w:semiHidden/>
    <w:unhideWhenUsed/>
    <w:rsid w:val="00CB17D1"/>
    <w:rPr>
      <w:b/>
      <w:bCs/>
      <w:sz w:val="20"/>
      <w:szCs w:val="20"/>
    </w:rPr>
  </w:style>
  <w:style w:type="character" w:customStyle="1" w:styleId="CommentSubjectChar">
    <w:name w:val="Comment Subject Char"/>
    <w:basedOn w:val="CommentTextChar"/>
    <w:link w:val="CommentSubject"/>
    <w:uiPriority w:val="99"/>
    <w:semiHidden/>
    <w:rsid w:val="00CB17D1"/>
    <w:rPr>
      <w:rFonts w:asciiTheme="majorHAnsi" w:eastAsiaTheme="majorEastAsia" w:hAnsiTheme="majorHAnsi" w:cstheme="majorBidi"/>
      <w:b/>
      <w:bCs/>
      <w:color w:val="242424"/>
    </w:rPr>
  </w:style>
  <w:style w:type="character" w:customStyle="1" w:styleId="p">
    <w:name w:val="p"/>
    <w:basedOn w:val="DefaultParagraphFont"/>
    <w:rsid w:val="003A6834"/>
  </w:style>
  <w:style w:type="character" w:customStyle="1" w:styleId="e-03">
    <w:name w:val="e-03"/>
    <w:basedOn w:val="DefaultParagraphFont"/>
    <w:rsid w:val="003A6834"/>
  </w:style>
  <w:style w:type="paragraph" w:styleId="NormalWeb">
    <w:name w:val="Normal (Web)"/>
    <w:basedOn w:val="Normal"/>
    <w:uiPriority w:val="99"/>
    <w:semiHidden/>
    <w:unhideWhenUsed/>
    <w:rsid w:val="003A6834"/>
    <w:pPr>
      <w:spacing w:before="100" w:beforeAutospacing="1" w:after="100" w:afterAutospacing="1"/>
      <w:ind w:left="0"/>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434">
      <w:bodyDiv w:val="1"/>
      <w:marLeft w:val="0"/>
      <w:marRight w:val="0"/>
      <w:marTop w:val="0"/>
      <w:marBottom w:val="0"/>
      <w:divBdr>
        <w:top w:val="none" w:sz="0" w:space="0" w:color="auto"/>
        <w:left w:val="none" w:sz="0" w:space="0" w:color="auto"/>
        <w:bottom w:val="none" w:sz="0" w:space="0" w:color="auto"/>
        <w:right w:val="none" w:sz="0" w:space="0" w:color="auto"/>
      </w:divBdr>
    </w:div>
    <w:div w:id="61485047">
      <w:bodyDiv w:val="1"/>
      <w:marLeft w:val="0"/>
      <w:marRight w:val="0"/>
      <w:marTop w:val="0"/>
      <w:marBottom w:val="0"/>
      <w:divBdr>
        <w:top w:val="none" w:sz="0" w:space="0" w:color="auto"/>
        <w:left w:val="none" w:sz="0" w:space="0" w:color="auto"/>
        <w:bottom w:val="none" w:sz="0" w:space="0" w:color="auto"/>
        <w:right w:val="none" w:sz="0" w:space="0" w:color="auto"/>
      </w:divBdr>
    </w:div>
    <w:div w:id="126556936">
      <w:bodyDiv w:val="1"/>
      <w:marLeft w:val="0"/>
      <w:marRight w:val="0"/>
      <w:marTop w:val="0"/>
      <w:marBottom w:val="0"/>
      <w:divBdr>
        <w:top w:val="none" w:sz="0" w:space="0" w:color="auto"/>
        <w:left w:val="none" w:sz="0" w:space="0" w:color="auto"/>
        <w:bottom w:val="none" w:sz="0" w:space="0" w:color="auto"/>
        <w:right w:val="none" w:sz="0" w:space="0" w:color="auto"/>
      </w:divBdr>
    </w:div>
    <w:div w:id="134686351">
      <w:bodyDiv w:val="1"/>
      <w:marLeft w:val="0"/>
      <w:marRight w:val="0"/>
      <w:marTop w:val="0"/>
      <w:marBottom w:val="0"/>
      <w:divBdr>
        <w:top w:val="none" w:sz="0" w:space="0" w:color="auto"/>
        <w:left w:val="none" w:sz="0" w:space="0" w:color="auto"/>
        <w:bottom w:val="none" w:sz="0" w:space="0" w:color="auto"/>
        <w:right w:val="none" w:sz="0" w:space="0" w:color="auto"/>
      </w:divBdr>
    </w:div>
    <w:div w:id="166792240">
      <w:bodyDiv w:val="1"/>
      <w:marLeft w:val="0"/>
      <w:marRight w:val="0"/>
      <w:marTop w:val="0"/>
      <w:marBottom w:val="0"/>
      <w:divBdr>
        <w:top w:val="none" w:sz="0" w:space="0" w:color="auto"/>
        <w:left w:val="none" w:sz="0" w:space="0" w:color="auto"/>
        <w:bottom w:val="none" w:sz="0" w:space="0" w:color="auto"/>
        <w:right w:val="none" w:sz="0" w:space="0" w:color="auto"/>
      </w:divBdr>
    </w:div>
    <w:div w:id="230240031">
      <w:bodyDiv w:val="1"/>
      <w:marLeft w:val="0"/>
      <w:marRight w:val="0"/>
      <w:marTop w:val="0"/>
      <w:marBottom w:val="0"/>
      <w:divBdr>
        <w:top w:val="none" w:sz="0" w:space="0" w:color="auto"/>
        <w:left w:val="none" w:sz="0" w:space="0" w:color="auto"/>
        <w:bottom w:val="none" w:sz="0" w:space="0" w:color="auto"/>
        <w:right w:val="none" w:sz="0" w:space="0" w:color="auto"/>
      </w:divBdr>
    </w:div>
    <w:div w:id="429202496">
      <w:bodyDiv w:val="1"/>
      <w:marLeft w:val="0"/>
      <w:marRight w:val="0"/>
      <w:marTop w:val="0"/>
      <w:marBottom w:val="0"/>
      <w:divBdr>
        <w:top w:val="none" w:sz="0" w:space="0" w:color="auto"/>
        <w:left w:val="none" w:sz="0" w:space="0" w:color="auto"/>
        <w:bottom w:val="none" w:sz="0" w:space="0" w:color="auto"/>
        <w:right w:val="none" w:sz="0" w:space="0" w:color="auto"/>
      </w:divBdr>
    </w:div>
    <w:div w:id="437221390">
      <w:bodyDiv w:val="1"/>
      <w:marLeft w:val="0"/>
      <w:marRight w:val="0"/>
      <w:marTop w:val="0"/>
      <w:marBottom w:val="0"/>
      <w:divBdr>
        <w:top w:val="none" w:sz="0" w:space="0" w:color="auto"/>
        <w:left w:val="none" w:sz="0" w:space="0" w:color="auto"/>
        <w:bottom w:val="none" w:sz="0" w:space="0" w:color="auto"/>
        <w:right w:val="none" w:sz="0" w:space="0" w:color="auto"/>
      </w:divBdr>
    </w:div>
    <w:div w:id="580337818">
      <w:bodyDiv w:val="1"/>
      <w:marLeft w:val="0"/>
      <w:marRight w:val="0"/>
      <w:marTop w:val="0"/>
      <w:marBottom w:val="0"/>
      <w:divBdr>
        <w:top w:val="none" w:sz="0" w:space="0" w:color="auto"/>
        <w:left w:val="none" w:sz="0" w:space="0" w:color="auto"/>
        <w:bottom w:val="none" w:sz="0" w:space="0" w:color="auto"/>
        <w:right w:val="none" w:sz="0" w:space="0" w:color="auto"/>
      </w:divBdr>
    </w:div>
    <w:div w:id="693845708">
      <w:bodyDiv w:val="1"/>
      <w:marLeft w:val="0"/>
      <w:marRight w:val="0"/>
      <w:marTop w:val="0"/>
      <w:marBottom w:val="0"/>
      <w:divBdr>
        <w:top w:val="none" w:sz="0" w:space="0" w:color="auto"/>
        <w:left w:val="none" w:sz="0" w:space="0" w:color="auto"/>
        <w:bottom w:val="none" w:sz="0" w:space="0" w:color="auto"/>
        <w:right w:val="none" w:sz="0" w:space="0" w:color="auto"/>
      </w:divBdr>
    </w:div>
    <w:div w:id="738132588">
      <w:bodyDiv w:val="1"/>
      <w:marLeft w:val="0"/>
      <w:marRight w:val="0"/>
      <w:marTop w:val="0"/>
      <w:marBottom w:val="0"/>
      <w:divBdr>
        <w:top w:val="none" w:sz="0" w:space="0" w:color="auto"/>
        <w:left w:val="none" w:sz="0" w:space="0" w:color="auto"/>
        <w:bottom w:val="none" w:sz="0" w:space="0" w:color="auto"/>
        <w:right w:val="none" w:sz="0" w:space="0" w:color="auto"/>
      </w:divBdr>
    </w:div>
    <w:div w:id="750008226">
      <w:bodyDiv w:val="1"/>
      <w:marLeft w:val="0"/>
      <w:marRight w:val="0"/>
      <w:marTop w:val="0"/>
      <w:marBottom w:val="0"/>
      <w:divBdr>
        <w:top w:val="none" w:sz="0" w:space="0" w:color="auto"/>
        <w:left w:val="none" w:sz="0" w:space="0" w:color="auto"/>
        <w:bottom w:val="none" w:sz="0" w:space="0" w:color="auto"/>
        <w:right w:val="none" w:sz="0" w:space="0" w:color="auto"/>
      </w:divBdr>
    </w:div>
    <w:div w:id="775904761">
      <w:bodyDiv w:val="1"/>
      <w:marLeft w:val="0"/>
      <w:marRight w:val="0"/>
      <w:marTop w:val="0"/>
      <w:marBottom w:val="0"/>
      <w:divBdr>
        <w:top w:val="none" w:sz="0" w:space="0" w:color="auto"/>
        <w:left w:val="none" w:sz="0" w:space="0" w:color="auto"/>
        <w:bottom w:val="none" w:sz="0" w:space="0" w:color="auto"/>
        <w:right w:val="none" w:sz="0" w:space="0" w:color="auto"/>
      </w:divBdr>
    </w:div>
    <w:div w:id="818689839">
      <w:bodyDiv w:val="1"/>
      <w:marLeft w:val="0"/>
      <w:marRight w:val="0"/>
      <w:marTop w:val="0"/>
      <w:marBottom w:val="0"/>
      <w:divBdr>
        <w:top w:val="none" w:sz="0" w:space="0" w:color="auto"/>
        <w:left w:val="none" w:sz="0" w:space="0" w:color="auto"/>
        <w:bottom w:val="none" w:sz="0" w:space="0" w:color="auto"/>
        <w:right w:val="none" w:sz="0" w:space="0" w:color="auto"/>
      </w:divBdr>
    </w:div>
    <w:div w:id="909073636">
      <w:bodyDiv w:val="1"/>
      <w:marLeft w:val="0"/>
      <w:marRight w:val="0"/>
      <w:marTop w:val="0"/>
      <w:marBottom w:val="0"/>
      <w:divBdr>
        <w:top w:val="none" w:sz="0" w:space="0" w:color="auto"/>
        <w:left w:val="none" w:sz="0" w:space="0" w:color="auto"/>
        <w:bottom w:val="none" w:sz="0" w:space="0" w:color="auto"/>
        <w:right w:val="none" w:sz="0" w:space="0" w:color="auto"/>
      </w:divBdr>
    </w:div>
    <w:div w:id="1022709992">
      <w:bodyDiv w:val="1"/>
      <w:marLeft w:val="0"/>
      <w:marRight w:val="0"/>
      <w:marTop w:val="0"/>
      <w:marBottom w:val="0"/>
      <w:divBdr>
        <w:top w:val="none" w:sz="0" w:space="0" w:color="auto"/>
        <w:left w:val="none" w:sz="0" w:space="0" w:color="auto"/>
        <w:bottom w:val="none" w:sz="0" w:space="0" w:color="auto"/>
        <w:right w:val="none" w:sz="0" w:space="0" w:color="auto"/>
      </w:divBdr>
    </w:div>
    <w:div w:id="1050883572">
      <w:bodyDiv w:val="1"/>
      <w:marLeft w:val="0"/>
      <w:marRight w:val="0"/>
      <w:marTop w:val="0"/>
      <w:marBottom w:val="0"/>
      <w:divBdr>
        <w:top w:val="none" w:sz="0" w:space="0" w:color="auto"/>
        <w:left w:val="none" w:sz="0" w:space="0" w:color="auto"/>
        <w:bottom w:val="none" w:sz="0" w:space="0" w:color="auto"/>
        <w:right w:val="none" w:sz="0" w:space="0" w:color="auto"/>
      </w:divBdr>
    </w:div>
    <w:div w:id="1233271778">
      <w:bodyDiv w:val="1"/>
      <w:marLeft w:val="0"/>
      <w:marRight w:val="0"/>
      <w:marTop w:val="0"/>
      <w:marBottom w:val="0"/>
      <w:divBdr>
        <w:top w:val="none" w:sz="0" w:space="0" w:color="auto"/>
        <w:left w:val="none" w:sz="0" w:space="0" w:color="auto"/>
        <w:bottom w:val="none" w:sz="0" w:space="0" w:color="auto"/>
        <w:right w:val="none" w:sz="0" w:space="0" w:color="auto"/>
      </w:divBdr>
      <w:divsChild>
        <w:div w:id="692339274">
          <w:marLeft w:val="0"/>
          <w:marRight w:val="0"/>
          <w:marTop w:val="0"/>
          <w:marBottom w:val="0"/>
          <w:divBdr>
            <w:top w:val="none" w:sz="0" w:space="0" w:color="auto"/>
            <w:left w:val="none" w:sz="0" w:space="0" w:color="auto"/>
            <w:bottom w:val="none" w:sz="0" w:space="0" w:color="auto"/>
            <w:right w:val="none" w:sz="0" w:space="0" w:color="auto"/>
          </w:divBdr>
        </w:div>
        <w:div w:id="1566915650">
          <w:marLeft w:val="0"/>
          <w:marRight w:val="0"/>
          <w:marTop w:val="0"/>
          <w:marBottom w:val="0"/>
          <w:divBdr>
            <w:top w:val="none" w:sz="0" w:space="0" w:color="auto"/>
            <w:left w:val="none" w:sz="0" w:space="0" w:color="auto"/>
            <w:bottom w:val="none" w:sz="0" w:space="0" w:color="auto"/>
            <w:right w:val="none" w:sz="0" w:space="0" w:color="auto"/>
          </w:divBdr>
        </w:div>
        <w:div w:id="1541435130">
          <w:marLeft w:val="0"/>
          <w:marRight w:val="0"/>
          <w:marTop w:val="0"/>
          <w:marBottom w:val="0"/>
          <w:divBdr>
            <w:top w:val="none" w:sz="0" w:space="0" w:color="auto"/>
            <w:left w:val="none" w:sz="0" w:space="0" w:color="auto"/>
            <w:bottom w:val="none" w:sz="0" w:space="0" w:color="auto"/>
            <w:right w:val="none" w:sz="0" w:space="0" w:color="auto"/>
          </w:divBdr>
        </w:div>
        <w:div w:id="1590887125">
          <w:marLeft w:val="0"/>
          <w:marRight w:val="0"/>
          <w:marTop w:val="0"/>
          <w:marBottom w:val="0"/>
          <w:divBdr>
            <w:top w:val="none" w:sz="0" w:space="0" w:color="auto"/>
            <w:left w:val="none" w:sz="0" w:space="0" w:color="auto"/>
            <w:bottom w:val="none" w:sz="0" w:space="0" w:color="auto"/>
            <w:right w:val="none" w:sz="0" w:space="0" w:color="auto"/>
          </w:divBdr>
        </w:div>
        <w:div w:id="975404983">
          <w:marLeft w:val="0"/>
          <w:marRight w:val="0"/>
          <w:marTop w:val="0"/>
          <w:marBottom w:val="0"/>
          <w:divBdr>
            <w:top w:val="none" w:sz="0" w:space="0" w:color="auto"/>
            <w:left w:val="none" w:sz="0" w:space="0" w:color="auto"/>
            <w:bottom w:val="none" w:sz="0" w:space="0" w:color="auto"/>
            <w:right w:val="none" w:sz="0" w:space="0" w:color="auto"/>
          </w:divBdr>
        </w:div>
        <w:div w:id="1211071662">
          <w:marLeft w:val="0"/>
          <w:marRight w:val="0"/>
          <w:marTop w:val="0"/>
          <w:marBottom w:val="0"/>
          <w:divBdr>
            <w:top w:val="none" w:sz="0" w:space="0" w:color="auto"/>
            <w:left w:val="none" w:sz="0" w:space="0" w:color="auto"/>
            <w:bottom w:val="none" w:sz="0" w:space="0" w:color="auto"/>
            <w:right w:val="none" w:sz="0" w:space="0" w:color="auto"/>
          </w:divBdr>
        </w:div>
        <w:div w:id="1515027900">
          <w:marLeft w:val="0"/>
          <w:marRight w:val="0"/>
          <w:marTop w:val="0"/>
          <w:marBottom w:val="0"/>
          <w:divBdr>
            <w:top w:val="none" w:sz="0" w:space="0" w:color="auto"/>
            <w:left w:val="none" w:sz="0" w:space="0" w:color="auto"/>
            <w:bottom w:val="none" w:sz="0" w:space="0" w:color="auto"/>
            <w:right w:val="none" w:sz="0" w:space="0" w:color="auto"/>
          </w:divBdr>
        </w:div>
        <w:div w:id="622156572">
          <w:marLeft w:val="0"/>
          <w:marRight w:val="0"/>
          <w:marTop w:val="0"/>
          <w:marBottom w:val="0"/>
          <w:divBdr>
            <w:top w:val="none" w:sz="0" w:space="0" w:color="auto"/>
            <w:left w:val="none" w:sz="0" w:space="0" w:color="auto"/>
            <w:bottom w:val="none" w:sz="0" w:space="0" w:color="auto"/>
            <w:right w:val="none" w:sz="0" w:space="0" w:color="auto"/>
          </w:divBdr>
        </w:div>
        <w:div w:id="1965234953">
          <w:marLeft w:val="0"/>
          <w:marRight w:val="0"/>
          <w:marTop w:val="0"/>
          <w:marBottom w:val="0"/>
          <w:divBdr>
            <w:top w:val="none" w:sz="0" w:space="0" w:color="auto"/>
            <w:left w:val="none" w:sz="0" w:space="0" w:color="auto"/>
            <w:bottom w:val="none" w:sz="0" w:space="0" w:color="auto"/>
            <w:right w:val="none" w:sz="0" w:space="0" w:color="auto"/>
          </w:divBdr>
        </w:div>
        <w:div w:id="854802323">
          <w:marLeft w:val="0"/>
          <w:marRight w:val="0"/>
          <w:marTop w:val="0"/>
          <w:marBottom w:val="0"/>
          <w:divBdr>
            <w:top w:val="none" w:sz="0" w:space="0" w:color="auto"/>
            <w:left w:val="none" w:sz="0" w:space="0" w:color="auto"/>
            <w:bottom w:val="none" w:sz="0" w:space="0" w:color="auto"/>
            <w:right w:val="none" w:sz="0" w:space="0" w:color="auto"/>
          </w:divBdr>
        </w:div>
        <w:div w:id="1935361004">
          <w:marLeft w:val="0"/>
          <w:marRight w:val="0"/>
          <w:marTop w:val="0"/>
          <w:marBottom w:val="0"/>
          <w:divBdr>
            <w:top w:val="none" w:sz="0" w:space="0" w:color="auto"/>
            <w:left w:val="none" w:sz="0" w:space="0" w:color="auto"/>
            <w:bottom w:val="none" w:sz="0" w:space="0" w:color="auto"/>
            <w:right w:val="none" w:sz="0" w:space="0" w:color="auto"/>
          </w:divBdr>
        </w:div>
        <w:div w:id="1385637576">
          <w:marLeft w:val="0"/>
          <w:marRight w:val="0"/>
          <w:marTop w:val="0"/>
          <w:marBottom w:val="0"/>
          <w:divBdr>
            <w:top w:val="none" w:sz="0" w:space="0" w:color="auto"/>
            <w:left w:val="none" w:sz="0" w:space="0" w:color="auto"/>
            <w:bottom w:val="none" w:sz="0" w:space="0" w:color="auto"/>
            <w:right w:val="none" w:sz="0" w:space="0" w:color="auto"/>
          </w:divBdr>
        </w:div>
      </w:divsChild>
    </w:div>
    <w:div w:id="1326931818">
      <w:bodyDiv w:val="1"/>
      <w:marLeft w:val="0"/>
      <w:marRight w:val="0"/>
      <w:marTop w:val="0"/>
      <w:marBottom w:val="0"/>
      <w:divBdr>
        <w:top w:val="none" w:sz="0" w:space="0" w:color="auto"/>
        <w:left w:val="none" w:sz="0" w:space="0" w:color="auto"/>
        <w:bottom w:val="none" w:sz="0" w:space="0" w:color="auto"/>
        <w:right w:val="none" w:sz="0" w:space="0" w:color="auto"/>
      </w:divBdr>
    </w:div>
    <w:div w:id="1342927339">
      <w:bodyDiv w:val="1"/>
      <w:marLeft w:val="0"/>
      <w:marRight w:val="0"/>
      <w:marTop w:val="0"/>
      <w:marBottom w:val="0"/>
      <w:divBdr>
        <w:top w:val="none" w:sz="0" w:space="0" w:color="auto"/>
        <w:left w:val="none" w:sz="0" w:space="0" w:color="auto"/>
        <w:bottom w:val="none" w:sz="0" w:space="0" w:color="auto"/>
        <w:right w:val="none" w:sz="0" w:space="0" w:color="auto"/>
      </w:divBdr>
    </w:div>
    <w:div w:id="1404450923">
      <w:bodyDiv w:val="1"/>
      <w:marLeft w:val="0"/>
      <w:marRight w:val="0"/>
      <w:marTop w:val="0"/>
      <w:marBottom w:val="0"/>
      <w:divBdr>
        <w:top w:val="none" w:sz="0" w:space="0" w:color="auto"/>
        <w:left w:val="none" w:sz="0" w:space="0" w:color="auto"/>
        <w:bottom w:val="none" w:sz="0" w:space="0" w:color="auto"/>
        <w:right w:val="none" w:sz="0" w:space="0" w:color="auto"/>
      </w:divBdr>
    </w:div>
    <w:div w:id="1415592354">
      <w:bodyDiv w:val="1"/>
      <w:marLeft w:val="0"/>
      <w:marRight w:val="0"/>
      <w:marTop w:val="0"/>
      <w:marBottom w:val="0"/>
      <w:divBdr>
        <w:top w:val="none" w:sz="0" w:space="0" w:color="auto"/>
        <w:left w:val="none" w:sz="0" w:space="0" w:color="auto"/>
        <w:bottom w:val="none" w:sz="0" w:space="0" w:color="auto"/>
        <w:right w:val="none" w:sz="0" w:space="0" w:color="auto"/>
      </w:divBdr>
    </w:div>
    <w:div w:id="1737047141">
      <w:bodyDiv w:val="1"/>
      <w:marLeft w:val="0"/>
      <w:marRight w:val="0"/>
      <w:marTop w:val="0"/>
      <w:marBottom w:val="0"/>
      <w:divBdr>
        <w:top w:val="none" w:sz="0" w:space="0" w:color="auto"/>
        <w:left w:val="none" w:sz="0" w:space="0" w:color="auto"/>
        <w:bottom w:val="none" w:sz="0" w:space="0" w:color="auto"/>
        <w:right w:val="none" w:sz="0" w:space="0" w:color="auto"/>
      </w:divBdr>
    </w:div>
    <w:div w:id="1770002663">
      <w:bodyDiv w:val="1"/>
      <w:marLeft w:val="0"/>
      <w:marRight w:val="0"/>
      <w:marTop w:val="0"/>
      <w:marBottom w:val="0"/>
      <w:divBdr>
        <w:top w:val="none" w:sz="0" w:space="0" w:color="auto"/>
        <w:left w:val="none" w:sz="0" w:space="0" w:color="auto"/>
        <w:bottom w:val="none" w:sz="0" w:space="0" w:color="auto"/>
        <w:right w:val="none" w:sz="0" w:space="0" w:color="auto"/>
      </w:divBdr>
    </w:div>
    <w:div w:id="1785921675">
      <w:bodyDiv w:val="1"/>
      <w:marLeft w:val="0"/>
      <w:marRight w:val="0"/>
      <w:marTop w:val="0"/>
      <w:marBottom w:val="0"/>
      <w:divBdr>
        <w:top w:val="none" w:sz="0" w:space="0" w:color="auto"/>
        <w:left w:val="none" w:sz="0" w:space="0" w:color="auto"/>
        <w:bottom w:val="none" w:sz="0" w:space="0" w:color="auto"/>
        <w:right w:val="none" w:sz="0" w:space="0" w:color="auto"/>
      </w:divBdr>
    </w:div>
    <w:div w:id="2022852000">
      <w:bodyDiv w:val="1"/>
      <w:marLeft w:val="0"/>
      <w:marRight w:val="0"/>
      <w:marTop w:val="0"/>
      <w:marBottom w:val="0"/>
      <w:divBdr>
        <w:top w:val="none" w:sz="0" w:space="0" w:color="auto"/>
        <w:left w:val="none" w:sz="0" w:space="0" w:color="auto"/>
        <w:bottom w:val="none" w:sz="0" w:space="0" w:color="auto"/>
        <w:right w:val="none" w:sz="0" w:space="0" w:color="auto"/>
      </w:divBdr>
    </w:div>
    <w:div w:id="2088723015">
      <w:bodyDiv w:val="1"/>
      <w:marLeft w:val="0"/>
      <w:marRight w:val="0"/>
      <w:marTop w:val="0"/>
      <w:marBottom w:val="0"/>
      <w:divBdr>
        <w:top w:val="none" w:sz="0" w:space="0" w:color="auto"/>
        <w:left w:val="none" w:sz="0" w:space="0" w:color="auto"/>
        <w:bottom w:val="none" w:sz="0" w:space="0" w:color="auto"/>
        <w:right w:val="none" w:sz="0" w:space="0" w:color="auto"/>
      </w:divBdr>
    </w:div>
    <w:div w:id="2096436755">
      <w:bodyDiv w:val="1"/>
      <w:marLeft w:val="0"/>
      <w:marRight w:val="0"/>
      <w:marTop w:val="0"/>
      <w:marBottom w:val="0"/>
      <w:divBdr>
        <w:top w:val="none" w:sz="0" w:space="0" w:color="auto"/>
        <w:left w:val="none" w:sz="0" w:space="0" w:color="auto"/>
        <w:bottom w:val="none" w:sz="0" w:space="0" w:color="auto"/>
        <w:right w:val="none" w:sz="0" w:space="0" w:color="auto"/>
      </w:divBdr>
    </w:div>
    <w:div w:id="21179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ehreth@theforksmpo.org" TargetMode="External"/><Relationship Id="rId18" Type="http://schemas.openxmlformats.org/officeDocument/2006/relationships/hyperlink" Target="https://cdnsm5-hosted.civiclive.com/UserFiles/Servers/Server_16222865/File/Plans%20and%20Programs/Microtransit/Microtransit%20Feasibility,%20Design,%20and%20Implementation%20Plan_with%20appendice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en.ehreth@theforksmpo.org" TargetMode="External"/><Relationship Id="rId17" Type="http://schemas.openxmlformats.org/officeDocument/2006/relationships/hyperlink" Target="https://cdnsm5-hosted.civiclive.com/UserFiles/Servers/Server_16222865/File/Plans%20and%20Programs/SS4A/FINAL_SS4A%20Plan_With%20Appendices.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heforksmpo.org/common/pages/GetFile.ashx?key=HAUnAcT7" TargetMode="External"/><Relationship Id="rId20" Type="http://schemas.openxmlformats.org/officeDocument/2006/relationships/image" Target="media/image2.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theforksmpo.org/plans_projects/2050_metropolitan_transportation_pla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heforksmp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stgrandforksmetro.hosted.civiclive.com/public_participation/public_participation_plan_pp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5D0B5A0D18C4BA0C2BD993BEE492A" ma:contentTypeVersion="15" ma:contentTypeDescription="Create a new document." ma:contentTypeScope="" ma:versionID="50ffa0a33b303a5a8685d50ea2051939">
  <xsd:schema xmlns:xsd="http://www.w3.org/2001/XMLSchema" xmlns:xs="http://www.w3.org/2001/XMLSchema" xmlns:p="http://schemas.microsoft.com/office/2006/metadata/properties" xmlns:ns2="d6f57abb-c667-4209-89c0-e61c5b0857a7" xmlns:ns3="fa31e57f-69f0-41bc-a93e-99d51432f7f2" targetNamespace="http://schemas.microsoft.com/office/2006/metadata/properties" ma:root="true" ma:fieldsID="bb9ea03f931032a72dc5c9168146e43f" ns2:_="" ns3:_="">
    <xsd:import namespace="d6f57abb-c667-4209-89c0-e61c5b0857a7"/>
    <xsd:import namespace="fa31e57f-69f0-41bc-a93e-99d51432f7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57abb-c667-4209-89c0-e61c5b085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f38577e-8040-4008-8655-9914a6003a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1e57f-69f0-41bc-a93e-99d51432f7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12bae7-d941-4071-aade-a6d4ac5fbc3c}" ma:internalName="TaxCatchAll" ma:showField="CatchAllData" ma:web="fa31e57f-69f0-41bc-a93e-99d51432f7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57abb-c667-4209-89c0-e61c5b0857a7">
      <Terms xmlns="http://schemas.microsoft.com/office/infopath/2007/PartnerControls"/>
    </lcf76f155ced4ddcb4097134ff3c332f>
    <TaxCatchAll xmlns="fa31e57f-69f0-41bc-a93e-99d51432f7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9D5F5-0441-47A4-A1E1-1366712B7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57abb-c667-4209-89c0-e61c5b0857a7"/>
    <ds:schemaRef ds:uri="fa31e57f-69f0-41bc-a93e-99d51432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A32BA-6BF4-444F-BF64-F72BFC1A5A73}">
  <ds:schemaRefs>
    <ds:schemaRef ds:uri="http://schemas.openxmlformats.org/officeDocument/2006/bibliography"/>
  </ds:schemaRefs>
</ds:datastoreItem>
</file>

<file path=customXml/itemProps3.xml><?xml version="1.0" encoding="utf-8"?>
<ds:datastoreItem xmlns:ds="http://schemas.openxmlformats.org/officeDocument/2006/customXml" ds:itemID="{59E7CB0E-E734-4854-B397-A310D60E71F1}">
  <ds:schemaRefs>
    <ds:schemaRef ds:uri="http://schemas.microsoft.com/office/2006/metadata/properties"/>
    <ds:schemaRef ds:uri="http://schemas.microsoft.com/office/infopath/2007/PartnerControls"/>
    <ds:schemaRef ds:uri="d6f57abb-c667-4209-89c0-e61c5b0857a7"/>
    <ds:schemaRef ds:uri="fa31e57f-69f0-41bc-a93e-99d51432f7f2"/>
  </ds:schemaRefs>
</ds:datastoreItem>
</file>

<file path=customXml/itemProps4.xml><?xml version="1.0" encoding="utf-8"?>
<ds:datastoreItem xmlns:ds="http://schemas.openxmlformats.org/officeDocument/2006/customXml" ds:itemID="{12D5B894-5806-42EF-96DB-9734E132E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19335</TotalTime>
  <Pages>40</Pages>
  <Words>13241</Words>
  <Characters>75019</Characters>
  <Application>Microsoft Office Word</Application>
  <DocSecurity>0</DocSecurity>
  <Lines>1776</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87986</CharactersWithSpaces>
  <SharedDoc>false</SharedDoc>
  <HLinks>
    <vt:vector size="108" baseType="variant">
      <vt:variant>
        <vt:i4>4456543</vt:i4>
      </vt:variant>
      <vt:variant>
        <vt:i4>87</vt:i4>
      </vt:variant>
      <vt:variant>
        <vt:i4>0</vt:i4>
      </vt:variant>
      <vt:variant>
        <vt:i4>5</vt:i4>
      </vt:variant>
      <vt:variant>
        <vt:lpwstr>https://www.theforksmpo.org/</vt:lpwstr>
      </vt:variant>
      <vt:variant>
        <vt:lpwstr/>
      </vt:variant>
      <vt:variant>
        <vt:i4>2818113</vt:i4>
      </vt:variant>
      <vt:variant>
        <vt:i4>84</vt:i4>
      </vt:variant>
      <vt:variant>
        <vt:i4>0</vt:i4>
      </vt:variant>
      <vt:variant>
        <vt:i4>5</vt:i4>
      </vt:variant>
      <vt:variant>
        <vt:lpwstr>https://www.theforksmpo.org/resources/transportation_improvement_plan_tip</vt:lpwstr>
      </vt:variant>
      <vt:variant>
        <vt:lpwstr/>
      </vt:variant>
      <vt:variant>
        <vt:i4>2752553</vt:i4>
      </vt:variant>
      <vt:variant>
        <vt:i4>81</vt:i4>
      </vt:variant>
      <vt:variant>
        <vt:i4>0</vt:i4>
      </vt:variant>
      <vt:variant>
        <vt:i4>5</vt:i4>
      </vt:variant>
      <vt:variant>
        <vt:lpwstr>https://eastgrandforksmetro.hosted.civiclive.com/resources/2050_e_g_f_land_use_plan</vt:lpwstr>
      </vt:variant>
      <vt:variant>
        <vt:lpwstr/>
      </vt:variant>
      <vt:variant>
        <vt:i4>7143496</vt:i4>
      </vt:variant>
      <vt:variant>
        <vt:i4>78</vt:i4>
      </vt:variant>
      <vt:variant>
        <vt:i4>0</vt:i4>
      </vt:variant>
      <vt:variant>
        <vt:i4>5</vt:i4>
      </vt:variant>
      <vt:variant>
        <vt:lpwstr>https://eastgrandforksmetro.hosted.civiclive.com/resources/2050_grand_forks_land_use_plan</vt:lpwstr>
      </vt:variant>
      <vt:variant>
        <vt:lpwstr/>
      </vt:variant>
      <vt:variant>
        <vt:i4>3342426</vt:i4>
      </vt:variant>
      <vt:variant>
        <vt:i4>75</vt:i4>
      </vt:variant>
      <vt:variant>
        <vt:i4>0</vt:i4>
      </vt:variant>
      <vt:variant>
        <vt:i4>5</vt:i4>
      </vt:variant>
      <vt:variant>
        <vt:lpwstr>https://eastgrandforksmetro.hosted.civiclive.com/resources/g_f-_e_g_f_transit_development_plan</vt:lpwstr>
      </vt:variant>
      <vt:variant>
        <vt:lpwstr/>
      </vt:variant>
      <vt:variant>
        <vt:i4>8061032</vt:i4>
      </vt:variant>
      <vt:variant>
        <vt:i4>72</vt:i4>
      </vt:variant>
      <vt:variant>
        <vt:i4>0</vt:i4>
      </vt:variant>
      <vt:variant>
        <vt:i4>5</vt:i4>
      </vt:variant>
      <vt:variant>
        <vt:lpwstr>https://eastgrandforksmetro.hosted.civiclive.com/public_participation/public_participation_plan_ppp</vt:lpwstr>
      </vt:variant>
      <vt:variant>
        <vt:lpwstr/>
      </vt:variant>
      <vt:variant>
        <vt:i4>1245234</vt:i4>
      </vt:variant>
      <vt:variant>
        <vt:i4>65</vt:i4>
      </vt:variant>
      <vt:variant>
        <vt:i4>0</vt:i4>
      </vt:variant>
      <vt:variant>
        <vt:i4>5</vt:i4>
      </vt:variant>
      <vt:variant>
        <vt:lpwstr/>
      </vt:variant>
      <vt:variant>
        <vt:lpwstr>_Toc192510084</vt:lpwstr>
      </vt:variant>
      <vt:variant>
        <vt:i4>1245234</vt:i4>
      </vt:variant>
      <vt:variant>
        <vt:i4>59</vt:i4>
      </vt:variant>
      <vt:variant>
        <vt:i4>0</vt:i4>
      </vt:variant>
      <vt:variant>
        <vt:i4>5</vt:i4>
      </vt:variant>
      <vt:variant>
        <vt:lpwstr/>
      </vt:variant>
      <vt:variant>
        <vt:lpwstr>_Toc192510083</vt:lpwstr>
      </vt:variant>
      <vt:variant>
        <vt:i4>1245234</vt:i4>
      </vt:variant>
      <vt:variant>
        <vt:i4>53</vt:i4>
      </vt:variant>
      <vt:variant>
        <vt:i4>0</vt:i4>
      </vt:variant>
      <vt:variant>
        <vt:i4>5</vt:i4>
      </vt:variant>
      <vt:variant>
        <vt:lpwstr/>
      </vt:variant>
      <vt:variant>
        <vt:lpwstr>_Toc192510082</vt:lpwstr>
      </vt:variant>
      <vt:variant>
        <vt:i4>1245234</vt:i4>
      </vt:variant>
      <vt:variant>
        <vt:i4>47</vt:i4>
      </vt:variant>
      <vt:variant>
        <vt:i4>0</vt:i4>
      </vt:variant>
      <vt:variant>
        <vt:i4>5</vt:i4>
      </vt:variant>
      <vt:variant>
        <vt:lpwstr/>
      </vt:variant>
      <vt:variant>
        <vt:lpwstr>_Toc192510081</vt:lpwstr>
      </vt:variant>
      <vt:variant>
        <vt:i4>1245234</vt:i4>
      </vt:variant>
      <vt:variant>
        <vt:i4>41</vt:i4>
      </vt:variant>
      <vt:variant>
        <vt:i4>0</vt:i4>
      </vt:variant>
      <vt:variant>
        <vt:i4>5</vt:i4>
      </vt:variant>
      <vt:variant>
        <vt:lpwstr/>
      </vt:variant>
      <vt:variant>
        <vt:lpwstr>_Toc192510080</vt:lpwstr>
      </vt:variant>
      <vt:variant>
        <vt:i4>1835058</vt:i4>
      </vt:variant>
      <vt:variant>
        <vt:i4>35</vt:i4>
      </vt:variant>
      <vt:variant>
        <vt:i4>0</vt:i4>
      </vt:variant>
      <vt:variant>
        <vt:i4>5</vt:i4>
      </vt:variant>
      <vt:variant>
        <vt:lpwstr/>
      </vt:variant>
      <vt:variant>
        <vt:lpwstr>_Toc192510079</vt:lpwstr>
      </vt:variant>
      <vt:variant>
        <vt:i4>1835058</vt:i4>
      </vt:variant>
      <vt:variant>
        <vt:i4>29</vt:i4>
      </vt:variant>
      <vt:variant>
        <vt:i4>0</vt:i4>
      </vt:variant>
      <vt:variant>
        <vt:i4>5</vt:i4>
      </vt:variant>
      <vt:variant>
        <vt:lpwstr/>
      </vt:variant>
      <vt:variant>
        <vt:lpwstr>_Toc192510078</vt:lpwstr>
      </vt:variant>
      <vt:variant>
        <vt:i4>1835058</vt:i4>
      </vt:variant>
      <vt:variant>
        <vt:i4>23</vt:i4>
      </vt:variant>
      <vt:variant>
        <vt:i4>0</vt:i4>
      </vt:variant>
      <vt:variant>
        <vt:i4>5</vt:i4>
      </vt:variant>
      <vt:variant>
        <vt:lpwstr/>
      </vt:variant>
      <vt:variant>
        <vt:lpwstr>_Toc192510077</vt:lpwstr>
      </vt:variant>
      <vt:variant>
        <vt:i4>1835058</vt:i4>
      </vt:variant>
      <vt:variant>
        <vt:i4>17</vt:i4>
      </vt:variant>
      <vt:variant>
        <vt:i4>0</vt:i4>
      </vt:variant>
      <vt:variant>
        <vt:i4>5</vt:i4>
      </vt:variant>
      <vt:variant>
        <vt:lpwstr/>
      </vt:variant>
      <vt:variant>
        <vt:lpwstr>_Toc192510076</vt:lpwstr>
      </vt:variant>
      <vt:variant>
        <vt:i4>1835058</vt:i4>
      </vt:variant>
      <vt:variant>
        <vt:i4>11</vt:i4>
      </vt:variant>
      <vt:variant>
        <vt:i4>0</vt:i4>
      </vt:variant>
      <vt:variant>
        <vt:i4>5</vt:i4>
      </vt:variant>
      <vt:variant>
        <vt:lpwstr/>
      </vt:variant>
      <vt:variant>
        <vt:lpwstr>_Toc192510075</vt:lpwstr>
      </vt:variant>
      <vt:variant>
        <vt:i4>1835058</vt:i4>
      </vt:variant>
      <vt:variant>
        <vt:i4>5</vt:i4>
      </vt:variant>
      <vt:variant>
        <vt:i4>0</vt:i4>
      </vt:variant>
      <vt:variant>
        <vt:i4>5</vt:i4>
      </vt:variant>
      <vt:variant>
        <vt:lpwstr/>
      </vt:variant>
      <vt:variant>
        <vt:lpwstr>_Toc192510074</vt:lpwstr>
      </vt:variant>
      <vt:variant>
        <vt:i4>2359361</vt:i4>
      </vt:variant>
      <vt:variant>
        <vt:i4>0</vt:i4>
      </vt:variant>
      <vt:variant>
        <vt:i4>0</vt:i4>
      </vt:variant>
      <vt:variant>
        <vt:i4>5</vt:i4>
      </vt:variant>
      <vt:variant>
        <vt:lpwstr>mailto:teri.kouba@theforksmpo.org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tkouba</dc:creator>
  <cp:keywords/>
  <dc:description/>
  <cp:lastModifiedBy>Ben Ehreth</cp:lastModifiedBy>
  <cp:revision>1309</cp:revision>
  <cp:lastPrinted>2026-03-19T15:12:00Z</cp:lastPrinted>
  <dcterms:created xsi:type="dcterms:W3CDTF">2025-05-28T16:17:00Z</dcterms:created>
  <dcterms:modified xsi:type="dcterms:W3CDTF">2026-03-19T16:09:00Z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0x0101009E65D0B5A0D18C4BA0C2BD993BEE492A</vt:lpwstr>
  </property>
  <property fmtid="{D5CDD505-2E9C-101B-9397-08002B2CF9AE}" pid="3" name="MediaServiceImageTags">
    <vt:lpwstr/>
  </property>
</Properties>
</file>