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0106" w14:textId="361E5A4A" w:rsidR="006562F6" w:rsidRPr="006E62ED" w:rsidRDefault="006562F6" w:rsidP="00C27AAF">
      <w:pPr>
        <w:jc w:val="center"/>
        <w:rPr>
          <w:rFonts w:ascii="Arial" w:hAnsi="Arial" w:cs="Arial"/>
          <w:b/>
          <w:sz w:val="17"/>
          <w:szCs w:val="17"/>
        </w:rPr>
      </w:pPr>
      <w:r w:rsidRPr="006E62ED">
        <w:rPr>
          <w:rFonts w:ascii="Arial" w:hAnsi="Arial" w:cs="Arial"/>
          <w:b/>
          <w:sz w:val="17"/>
          <w:szCs w:val="17"/>
        </w:rPr>
        <w:t>Risk Management Appendix</w:t>
      </w:r>
    </w:p>
    <w:p w14:paraId="2A711035" w14:textId="77777777" w:rsidR="006562F6" w:rsidRPr="006E62ED" w:rsidRDefault="006562F6" w:rsidP="006906D5">
      <w:pPr>
        <w:spacing w:line="360" w:lineRule="auto"/>
        <w:jc w:val="both"/>
        <w:rPr>
          <w:rFonts w:ascii="Arial" w:hAnsi="Arial" w:cs="Arial"/>
          <w:b/>
          <w:sz w:val="17"/>
          <w:szCs w:val="17"/>
        </w:rPr>
      </w:pPr>
      <w:r w:rsidRPr="006E62ED">
        <w:rPr>
          <w:rFonts w:ascii="Arial" w:hAnsi="Arial" w:cs="Arial"/>
          <w:b/>
          <w:sz w:val="17"/>
          <w:szCs w:val="17"/>
        </w:rPr>
        <w:t>Professional Services:</w:t>
      </w:r>
    </w:p>
    <w:p w14:paraId="4E87909A" w14:textId="77777777" w:rsidR="006562F6" w:rsidRPr="006E62ED" w:rsidRDefault="006562F6" w:rsidP="006562F6">
      <w:pPr>
        <w:tabs>
          <w:tab w:val="left" w:pos="1200"/>
          <w:tab w:val="left" w:pos="1560"/>
        </w:tabs>
        <w:ind w:left="1440" w:hanging="1200"/>
        <w:jc w:val="both"/>
        <w:rPr>
          <w:rFonts w:ascii="Arial" w:hAnsi="Arial" w:cs="Arial"/>
          <w:sz w:val="17"/>
          <w:szCs w:val="17"/>
        </w:rPr>
      </w:pPr>
      <w:r w:rsidRPr="006E62ED">
        <w:rPr>
          <w:rFonts w:ascii="Arial" w:hAnsi="Arial" w:cs="Arial"/>
          <w:b/>
          <w:sz w:val="17"/>
          <w:szCs w:val="17"/>
        </w:rPr>
        <w:t>Parties:</w:t>
      </w:r>
      <w:r w:rsidRPr="006E62ED">
        <w:rPr>
          <w:rFonts w:ascii="Arial" w:hAnsi="Arial" w:cs="Arial"/>
          <w:b/>
          <w:sz w:val="17"/>
          <w:szCs w:val="17"/>
        </w:rPr>
        <w:tab/>
        <w:t xml:space="preserve">State – </w:t>
      </w:r>
      <w:r w:rsidRPr="006E62ED">
        <w:rPr>
          <w:rFonts w:ascii="Arial" w:hAnsi="Arial" w:cs="Arial"/>
          <w:sz w:val="17"/>
          <w:szCs w:val="17"/>
        </w:rPr>
        <w:t>State of North Dakota, its agencies, officers and employees.</w:t>
      </w:r>
    </w:p>
    <w:p w14:paraId="41C34B7F" w14:textId="77777777" w:rsidR="006562F6" w:rsidRPr="006E62ED" w:rsidRDefault="006562F6" w:rsidP="006562F6">
      <w:pPr>
        <w:tabs>
          <w:tab w:val="left" w:pos="1200"/>
          <w:tab w:val="left" w:pos="1560"/>
        </w:tabs>
        <w:ind w:left="1440" w:hanging="1200"/>
        <w:jc w:val="both"/>
        <w:rPr>
          <w:rFonts w:ascii="Arial" w:hAnsi="Arial" w:cs="Arial"/>
          <w:sz w:val="17"/>
          <w:szCs w:val="17"/>
        </w:rPr>
      </w:pPr>
      <w:r w:rsidRPr="006E62ED">
        <w:rPr>
          <w:rFonts w:ascii="Arial" w:hAnsi="Arial" w:cs="Arial"/>
          <w:b/>
          <w:sz w:val="17"/>
          <w:szCs w:val="17"/>
        </w:rPr>
        <w:tab/>
        <w:t xml:space="preserve">Professional – </w:t>
      </w:r>
      <w:r w:rsidRPr="006E62ED">
        <w:rPr>
          <w:rFonts w:ascii="Arial" w:hAnsi="Arial" w:cs="Arial"/>
          <w:sz w:val="17"/>
          <w:szCs w:val="17"/>
        </w:rPr>
        <w:t>Professional Engineer or Architect or Professional Engineering or Architectural Firm executing the attached documents, their agencies, officers and employees.</w:t>
      </w:r>
    </w:p>
    <w:p w14:paraId="7C342205" w14:textId="77777777" w:rsidR="006562F6" w:rsidRPr="006E62ED" w:rsidRDefault="006562F6" w:rsidP="006562F6">
      <w:pPr>
        <w:tabs>
          <w:tab w:val="left" w:pos="1200"/>
          <w:tab w:val="left" w:pos="1560"/>
        </w:tabs>
        <w:ind w:left="1440" w:hanging="1200"/>
        <w:jc w:val="both"/>
        <w:rPr>
          <w:rFonts w:ascii="Arial" w:hAnsi="Arial" w:cs="Arial"/>
          <w:sz w:val="17"/>
          <w:szCs w:val="17"/>
        </w:rPr>
      </w:pPr>
      <w:r w:rsidRPr="006E62ED">
        <w:rPr>
          <w:rFonts w:ascii="Arial" w:hAnsi="Arial" w:cs="Arial"/>
          <w:b/>
          <w:sz w:val="17"/>
          <w:szCs w:val="17"/>
        </w:rPr>
        <w:tab/>
        <w:t>Governmental Entity –</w:t>
      </w:r>
      <w:r w:rsidRPr="006E62ED">
        <w:rPr>
          <w:rFonts w:ascii="Arial" w:hAnsi="Arial" w:cs="Arial"/>
          <w:sz w:val="17"/>
          <w:szCs w:val="17"/>
        </w:rPr>
        <w:t xml:space="preserve"> A nation, state, tribe, political subdivision, or similar entity that may enter into a related agreement with the State or the Engineer.</w:t>
      </w:r>
    </w:p>
    <w:p w14:paraId="770A26AE" w14:textId="77777777" w:rsidR="006562F6" w:rsidRPr="006E62ED" w:rsidRDefault="006562F6" w:rsidP="006562F6">
      <w:pPr>
        <w:tabs>
          <w:tab w:val="left" w:pos="1200"/>
          <w:tab w:val="left" w:pos="1560"/>
        </w:tabs>
        <w:ind w:left="1440" w:hanging="1200"/>
        <w:jc w:val="both"/>
        <w:rPr>
          <w:rFonts w:ascii="Arial" w:hAnsi="Arial" w:cs="Arial"/>
          <w:sz w:val="17"/>
          <w:szCs w:val="17"/>
        </w:rPr>
      </w:pPr>
      <w:r w:rsidRPr="006E62ED">
        <w:rPr>
          <w:rFonts w:ascii="Arial" w:hAnsi="Arial" w:cs="Arial"/>
          <w:b/>
          <w:sz w:val="17"/>
          <w:szCs w:val="17"/>
        </w:rPr>
        <w:tab/>
        <w:t>Governments –</w:t>
      </w:r>
      <w:r w:rsidRPr="006E62ED">
        <w:rPr>
          <w:rFonts w:ascii="Arial" w:hAnsi="Arial" w:cs="Arial"/>
          <w:sz w:val="17"/>
          <w:szCs w:val="17"/>
        </w:rPr>
        <w:t xml:space="preserve"> State and Governmental Entity, as defined above.</w:t>
      </w:r>
    </w:p>
    <w:p w14:paraId="5B7ACDA1" w14:textId="77777777" w:rsidR="006562F6" w:rsidRPr="006E62ED" w:rsidRDefault="006562F6" w:rsidP="00F84479">
      <w:pPr>
        <w:tabs>
          <w:tab w:val="left" w:pos="1200"/>
          <w:tab w:val="left" w:pos="1560"/>
        </w:tabs>
        <w:ind w:left="1440" w:hanging="1200"/>
        <w:jc w:val="both"/>
        <w:rPr>
          <w:rFonts w:ascii="Arial" w:hAnsi="Arial" w:cs="Arial"/>
          <w:sz w:val="17"/>
          <w:szCs w:val="17"/>
        </w:rPr>
      </w:pPr>
    </w:p>
    <w:p w14:paraId="53085577" w14:textId="77777777" w:rsidR="00D44EDF" w:rsidRDefault="00D44EDF" w:rsidP="00D44EDF">
      <w:pPr>
        <w:autoSpaceDE w:val="0"/>
        <w:autoSpaceDN w:val="0"/>
        <w:adjustRightInd w:val="0"/>
        <w:jc w:val="both"/>
        <w:rPr>
          <w:rFonts w:ascii="Arial" w:hAnsi="Arial" w:cs="Arial"/>
          <w:sz w:val="18"/>
          <w:szCs w:val="18"/>
        </w:rPr>
      </w:pPr>
      <w:r>
        <w:rPr>
          <w:rFonts w:ascii="Arial" w:hAnsi="Arial" w:cs="Arial"/>
          <w:sz w:val="18"/>
          <w:szCs w:val="18"/>
        </w:rPr>
        <w:t>The Professional agrees to defend, indemnify, and hold harmless the state of North Dakota, its agencies, officers and employees (State), from and against claims based on the vicarious liability of the State or its agents, but not against claims based on the State’s contributory negligence, comparative and/or contributory negligence or fault, sole negligence, or intentional misconduct.  This obligation to defend, indemnify, and hold harmless does not extend to professional liability claims arising from professional errors and omissions.  The legal defense provided by the Professional to the State under this provision must be free of any conflicts of interest, even if retention of separate legal counsel for the State is necessary.  Professional also agrees to defend, indemnify, and hold the State harmless for all costs, expenses and attorneys' fees incurred if the State prevails in an action against the Professional in establishing and litigating the indemnification coverage provided herein.  This obligation shall continue after the termination of this agreement.</w:t>
      </w:r>
    </w:p>
    <w:p w14:paraId="693677D5" w14:textId="77777777" w:rsidR="00F24EE9" w:rsidRPr="006E62ED" w:rsidRDefault="00F24EE9" w:rsidP="002740BA">
      <w:pPr>
        <w:tabs>
          <w:tab w:val="left" w:pos="1200"/>
          <w:tab w:val="left" w:pos="1560"/>
        </w:tabs>
        <w:jc w:val="both"/>
        <w:rPr>
          <w:rFonts w:ascii="Arial" w:hAnsi="Arial" w:cs="Arial"/>
          <w:sz w:val="17"/>
          <w:szCs w:val="17"/>
        </w:rPr>
      </w:pPr>
    </w:p>
    <w:p w14:paraId="69A02707" w14:textId="77777777" w:rsidR="00F24EE9" w:rsidRPr="006E62ED" w:rsidRDefault="00F24EE9" w:rsidP="00F24EE9">
      <w:pPr>
        <w:tabs>
          <w:tab w:val="left" w:pos="1200"/>
          <w:tab w:val="left" w:pos="1560"/>
        </w:tabs>
        <w:jc w:val="both"/>
        <w:rPr>
          <w:rFonts w:ascii="Arial" w:hAnsi="Arial" w:cs="Arial"/>
          <w:b/>
          <w:sz w:val="17"/>
          <w:szCs w:val="17"/>
        </w:rPr>
      </w:pPr>
      <w:r w:rsidRPr="006E62ED">
        <w:rPr>
          <w:rFonts w:ascii="Arial" w:hAnsi="Arial" w:cs="Arial"/>
          <w:b/>
          <w:sz w:val="17"/>
          <w:szCs w:val="17"/>
        </w:rPr>
        <w:t>Required Commercial General Liability, Automobile Liability, and Workers Compensation Insurance:</w:t>
      </w:r>
    </w:p>
    <w:p w14:paraId="40063306" w14:textId="704E077F" w:rsidR="00F24EE9" w:rsidRPr="006E62ED" w:rsidRDefault="006122A9" w:rsidP="00F24EE9">
      <w:pPr>
        <w:tabs>
          <w:tab w:val="left" w:pos="1200"/>
          <w:tab w:val="left" w:pos="1560"/>
        </w:tabs>
        <w:jc w:val="both"/>
        <w:rPr>
          <w:rFonts w:ascii="Arial" w:hAnsi="Arial" w:cs="Arial"/>
          <w:sz w:val="17"/>
          <w:szCs w:val="17"/>
        </w:rPr>
      </w:pPr>
      <w:r>
        <w:rPr>
          <w:rFonts w:ascii="Arial" w:hAnsi="Arial" w:cs="Arial"/>
          <w:sz w:val="18"/>
          <w:szCs w:val="18"/>
        </w:rPr>
        <w:t xml:space="preserve">The Professional shall secure and keep in force during the term of this agreement, from insurance companies, government self-insurance pools or government self-retention funds authorized to do business in North Dakota: </w:t>
      </w:r>
      <w:r w:rsidR="00F24EE9" w:rsidRPr="006E62ED">
        <w:rPr>
          <w:rFonts w:ascii="Arial" w:hAnsi="Arial" w:cs="Arial"/>
          <w:sz w:val="17"/>
          <w:szCs w:val="17"/>
        </w:rPr>
        <w:t>1) commercial general liability with limits of at least $</w:t>
      </w:r>
      <w:r w:rsidR="006C2BE3" w:rsidRPr="00EC55CD">
        <w:rPr>
          <w:rFonts w:ascii="Arial" w:hAnsi="Arial" w:cs="Arial"/>
          <w:sz w:val="17"/>
          <w:szCs w:val="17"/>
        </w:rPr>
        <w:t>2</w:t>
      </w:r>
      <w:r w:rsidR="00F24EE9" w:rsidRPr="00EC55CD">
        <w:rPr>
          <w:rFonts w:ascii="Arial" w:hAnsi="Arial" w:cs="Arial"/>
          <w:sz w:val="17"/>
          <w:szCs w:val="17"/>
        </w:rPr>
        <w:t>,000,000</w:t>
      </w:r>
      <w:r w:rsidR="00F24EE9" w:rsidRPr="006E62ED">
        <w:rPr>
          <w:rFonts w:ascii="Arial" w:hAnsi="Arial" w:cs="Arial"/>
          <w:sz w:val="17"/>
          <w:szCs w:val="17"/>
        </w:rPr>
        <w:t xml:space="preserve"> per </w:t>
      </w:r>
      <w:r w:rsidR="001D6D98" w:rsidRPr="006E62ED">
        <w:rPr>
          <w:rFonts w:ascii="Arial" w:hAnsi="Arial" w:cs="Arial"/>
          <w:sz w:val="17"/>
          <w:szCs w:val="17"/>
        </w:rPr>
        <w:t>occurrence</w:t>
      </w:r>
      <w:r w:rsidR="00F24EE9" w:rsidRPr="006E62ED">
        <w:rPr>
          <w:rFonts w:ascii="Arial" w:hAnsi="Arial" w:cs="Arial"/>
          <w:sz w:val="17"/>
          <w:szCs w:val="17"/>
        </w:rPr>
        <w:t>, $</w:t>
      </w:r>
      <w:r w:rsidR="006C2BE3" w:rsidRPr="00EC55CD">
        <w:rPr>
          <w:rFonts w:ascii="Arial" w:hAnsi="Arial" w:cs="Arial"/>
          <w:sz w:val="17"/>
          <w:szCs w:val="17"/>
        </w:rPr>
        <w:t>2</w:t>
      </w:r>
      <w:r w:rsidR="00F24EE9" w:rsidRPr="00EC55CD">
        <w:rPr>
          <w:rFonts w:ascii="Arial" w:hAnsi="Arial" w:cs="Arial"/>
          <w:sz w:val="17"/>
          <w:szCs w:val="17"/>
        </w:rPr>
        <w:t>,000,000</w:t>
      </w:r>
      <w:r w:rsidR="00F24EE9" w:rsidRPr="006E62ED">
        <w:rPr>
          <w:rFonts w:ascii="Arial" w:hAnsi="Arial" w:cs="Arial"/>
          <w:sz w:val="17"/>
          <w:szCs w:val="17"/>
        </w:rPr>
        <w:t xml:space="preserve"> aggregate; 2) automobile liability with limits of at least $</w:t>
      </w:r>
      <w:r w:rsidR="006C2BE3" w:rsidRPr="00EC55CD">
        <w:rPr>
          <w:rFonts w:ascii="Arial" w:hAnsi="Arial" w:cs="Arial"/>
          <w:sz w:val="17"/>
          <w:szCs w:val="17"/>
        </w:rPr>
        <w:t>2</w:t>
      </w:r>
      <w:r w:rsidR="00F24EE9" w:rsidRPr="00EC55CD">
        <w:rPr>
          <w:rFonts w:ascii="Arial" w:hAnsi="Arial" w:cs="Arial"/>
          <w:sz w:val="17"/>
          <w:szCs w:val="17"/>
        </w:rPr>
        <w:t>,000,000</w:t>
      </w:r>
      <w:r w:rsidR="00F24EE9" w:rsidRPr="006E62ED">
        <w:rPr>
          <w:rFonts w:ascii="Arial" w:hAnsi="Arial" w:cs="Arial"/>
          <w:sz w:val="17"/>
          <w:szCs w:val="17"/>
        </w:rPr>
        <w:t xml:space="preserve">, combined single limit; and 3) workers compensation insurance in amounts as required by statute; all covering the Professional for any and all claims of any nature applicable to such insurance which may in any manner arise out of or result from this agreement. </w:t>
      </w:r>
      <w:r w:rsidR="00B277AE" w:rsidRPr="006E62ED">
        <w:rPr>
          <w:rFonts w:ascii="Arial" w:hAnsi="Arial" w:cs="Arial"/>
          <w:sz w:val="17"/>
          <w:szCs w:val="17"/>
        </w:rPr>
        <w:t>4) </w:t>
      </w:r>
      <w:r w:rsidR="00F24EE9" w:rsidRPr="006E62ED">
        <w:rPr>
          <w:rFonts w:ascii="Arial" w:hAnsi="Arial" w:cs="Arial"/>
          <w:sz w:val="17"/>
          <w:szCs w:val="17"/>
        </w:rPr>
        <w:t>The Governments shall be endorsed on the commercial general liability and automobile liability policies as additional insureds.</w:t>
      </w:r>
      <w:r w:rsidR="00C27AAF" w:rsidRPr="006E62ED">
        <w:rPr>
          <w:rFonts w:ascii="Arial" w:hAnsi="Arial" w:cs="Arial"/>
          <w:sz w:val="17"/>
          <w:szCs w:val="17"/>
        </w:rPr>
        <w:t xml:space="preserve"> The Governments shall have all the benefits, rights and coverages of an additional insured under these policies that shall not be limited to the minimum limits of insurance required by this agreement or by the contractual indemnity obligations of the Contractor. </w:t>
      </w:r>
      <w:r w:rsidR="00B277AE" w:rsidRPr="006E62ED">
        <w:rPr>
          <w:rFonts w:ascii="Arial" w:hAnsi="Arial" w:cs="Arial"/>
          <w:sz w:val="17"/>
          <w:szCs w:val="17"/>
        </w:rPr>
        <w:t>5) </w:t>
      </w:r>
      <w:r w:rsidR="00F24EE9" w:rsidRPr="006E62ED">
        <w:rPr>
          <w:rFonts w:ascii="Arial" w:hAnsi="Arial" w:cs="Arial"/>
          <w:sz w:val="17"/>
          <w:szCs w:val="17"/>
        </w:rPr>
        <w:t>Said endorsement shall contain a “Waiver of Subrogation” waiving any right of recovery the insurance company may have against the Governments</w:t>
      </w:r>
      <w:r w:rsidR="00B277AE" w:rsidRPr="006E62ED">
        <w:rPr>
          <w:rFonts w:ascii="Arial" w:hAnsi="Arial" w:cs="Arial"/>
          <w:sz w:val="17"/>
          <w:szCs w:val="17"/>
        </w:rPr>
        <w:t xml:space="preserve">. </w:t>
      </w:r>
      <w:r w:rsidR="00F24EE9" w:rsidRPr="006E62ED">
        <w:rPr>
          <w:rFonts w:ascii="Arial" w:hAnsi="Arial" w:cs="Arial"/>
          <w:sz w:val="17"/>
          <w:szCs w:val="17"/>
        </w:rPr>
        <w:t xml:space="preserve"> </w:t>
      </w:r>
      <w:r w:rsidR="00B277AE" w:rsidRPr="006E62ED">
        <w:rPr>
          <w:rFonts w:ascii="Arial" w:hAnsi="Arial" w:cs="Arial"/>
          <w:sz w:val="17"/>
          <w:szCs w:val="17"/>
        </w:rPr>
        <w:t>6) </w:t>
      </w:r>
      <w:r w:rsidR="000F3FC1" w:rsidRPr="006E62ED">
        <w:rPr>
          <w:rFonts w:ascii="Arial" w:hAnsi="Arial" w:cs="Arial"/>
          <w:sz w:val="17"/>
          <w:szCs w:val="17"/>
        </w:rPr>
        <w:t>The policies</w:t>
      </w:r>
      <w:r w:rsidR="00F24EE9" w:rsidRPr="006E62ED">
        <w:rPr>
          <w:rFonts w:ascii="Arial" w:hAnsi="Arial" w:cs="Arial"/>
          <w:sz w:val="17"/>
          <w:szCs w:val="17"/>
        </w:rPr>
        <w:t xml:space="preserve"> and endorsement</w:t>
      </w:r>
      <w:r w:rsidR="00DD60BC" w:rsidRPr="006E62ED">
        <w:rPr>
          <w:rFonts w:ascii="Arial" w:hAnsi="Arial" w:cs="Arial"/>
          <w:sz w:val="17"/>
          <w:szCs w:val="17"/>
        </w:rPr>
        <w:t>s</w:t>
      </w:r>
      <w:r w:rsidR="00F24EE9" w:rsidRPr="006E62ED">
        <w:rPr>
          <w:rFonts w:ascii="Arial" w:hAnsi="Arial" w:cs="Arial"/>
          <w:sz w:val="17"/>
          <w:szCs w:val="17"/>
        </w:rPr>
        <w:t xml:space="preserve"> may not be canceled or modified without thirty (30) days prior written notice to the undersigned Government representatives</w:t>
      </w:r>
      <w:r w:rsidR="00B277AE" w:rsidRPr="006E62ED">
        <w:rPr>
          <w:rFonts w:ascii="Arial" w:hAnsi="Arial" w:cs="Arial"/>
          <w:sz w:val="17"/>
          <w:szCs w:val="17"/>
        </w:rPr>
        <w:t>.</w:t>
      </w:r>
      <w:r w:rsidR="00185849" w:rsidRPr="006E62ED">
        <w:rPr>
          <w:rFonts w:ascii="Arial" w:hAnsi="Arial" w:cs="Arial"/>
          <w:b/>
          <w:bCs/>
          <w:i/>
          <w:iCs/>
          <w:sz w:val="17"/>
          <w:szCs w:val="17"/>
        </w:rPr>
        <w:t xml:space="preserve"> </w:t>
      </w:r>
      <w:r w:rsidR="00B277AE" w:rsidRPr="006E62ED">
        <w:rPr>
          <w:rFonts w:ascii="Arial" w:hAnsi="Arial" w:cs="Arial"/>
          <w:sz w:val="17"/>
          <w:szCs w:val="17"/>
        </w:rPr>
        <w:t>A</w:t>
      </w:r>
      <w:r w:rsidR="00F24EE9" w:rsidRPr="006E62ED">
        <w:rPr>
          <w:rFonts w:ascii="Arial" w:hAnsi="Arial" w:cs="Arial"/>
          <w:sz w:val="17"/>
          <w:szCs w:val="17"/>
        </w:rPr>
        <w:t xml:space="preserve">ny attorney who represents the State under this policy must first qualify as and be appointed by the North Dakota Attorney General as a Special Assistant Attorney General as required under N.D.C.C. Section 54-12-08. </w:t>
      </w:r>
      <w:r w:rsidR="00F24EE9" w:rsidRPr="006E62ED">
        <w:rPr>
          <w:rFonts w:ascii="Arial" w:hAnsi="Arial" w:cs="Arial"/>
          <w:b/>
          <w:sz w:val="17"/>
          <w:szCs w:val="17"/>
        </w:rPr>
        <w:t>The Professional shall furnish a certificate of insurance ev</w:t>
      </w:r>
      <w:r w:rsidR="00981C20" w:rsidRPr="006E62ED">
        <w:rPr>
          <w:rFonts w:ascii="Arial" w:hAnsi="Arial" w:cs="Arial"/>
          <w:b/>
          <w:sz w:val="17"/>
          <w:szCs w:val="17"/>
        </w:rPr>
        <w:t>idencing the requirements</w:t>
      </w:r>
      <w:r w:rsidR="00B277AE" w:rsidRPr="006E62ED">
        <w:rPr>
          <w:rFonts w:ascii="Arial" w:hAnsi="Arial" w:cs="Arial"/>
          <w:b/>
          <w:sz w:val="17"/>
          <w:szCs w:val="17"/>
        </w:rPr>
        <w:t xml:space="preserve"> in 1, 2, 4, and 5 above</w:t>
      </w:r>
      <w:r w:rsidR="00981C20" w:rsidRPr="006E62ED">
        <w:rPr>
          <w:rFonts w:ascii="Arial" w:hAnsi="Arial" w:cs="Arial"/>
          <w:b/>
          <w:sz w:val="17"/>
          <w:szCs w:val="17"/>
        </w:rPr>
        <w:t xml:space="preserve"> </w:t>
      </w:r>
      <w:r w:rsidR="00F24EE9" w:rsidRPr="006E62ED">
        <w:rPr>
          <w:rFonts w:ascii="Arial" w:hAnsi="Arial" w:cs="Arial"/>
          <w:b/>
          <w:sz w:val="17"/>
          <w:szCs w:val="17"/>
        </w:rPr>
        <w:t>to the undersigned representatives of the Governments prior to commencement of this agreement.</w:t>
      </w:r>
      <w:r w:rsidR="00F24EE9" w:rsidRPr="006E62ED">
        <w:rPr>
          <w:rFonts w:ascii="Arial" w:hAnsi="Arial" w:cs="Arial"/>
          <w:sz w:val="17"/>
          <w:szCs w:val="17"/>
        </w:rPr>
        <w:t xml:space="preserve"> The State reserves the right to obtain complete, certified copies of all required insurance documents, policies, or endorsements at any time.</w:t>
      </w:r>
    </w:p>
    <w:p w14:paraId="48E05435" w14:textId="77777777" w:rsidR="00F24EE9" w:rsidRPr="006E62ED" w:rsidRDefault="00F24EE9" w:rsidP="00F24EE9">
      <w:pPr>
        <w:tabs>
          <w:tab w:val="left" w:pos="1200"/>
          <w:tab w:val="left" w:pos="1560"/>
        </w:tabs>
        <w:jc w:val="both"/>
        <w:rPr>
          <w:rFonts w:ascii="Arial" w:hAnsi="Arial" w:cs="Arial"/>
          <w:sz w:val="17"/>
          <w:szCs w:val="17"/>
        </w:rPr>
      </w:pPr>
    </w:p>
    <w:p w14:paraId="610B45BA" w14:textId="77777777" w:rsidR="006906D5" w:rsidRPr="006E62ED" w:rsidRDefault="006906D5" w:rsidP="006906D5">
      <w:pPr>
        <w:jc w:val="both"/>
        <w:rPr>
          <w:rFonts w:ascii="Arial" w:hAnsi="Arial" w:cs="Arial"/>
          <w:sz w:val="17"/>
          <w:szCs w:val="17"/>
        </w:rPr>
      </w:pPr>
      <w:r w:rsidRPr="006E62ED">
        <w:rPr>
          <w:rFonts w:ascii="Arial" w:hAnsi="Arial" w:cs="Arial"/>
          <w:sz w:val="17"/>
          <w:szCs w:val="17"/>
        </w:rPr>
        <w:t>When a portion of a Contract is sublet, the Professional shall obtain insurance protection (as outlined above) to provide liability coverage to protect the Professional and the State as a result of work undertaken by the Subcontractor.  In addition, the Professional shall ensure that any and all parties performing work under the Contract are covered by public liability insurance as outlined above.  All Subcontractors performing work under the Contract are required to maintain the same scope of insurance required of the Professional</w:t>
      </w:r>
      <w:r w:rsidR="00B360EA" w:rsidRPr="006E62ED">
        <w:rPr>
          <w:rFonts w:ascii="Arial" w:hAnsi="Arial" w:cs="Arial"/>
          <w:sz w:val="17"/>
          <w:szCs w:val="17"/>
        </w:rPr>
        <w:t xml:space="preserve"> (as outlined above)</w:t>
      </w:r>
      <w:r w:rsidRPr="006E62ED">
        <w:rPr>
          <w:rFonts w:ascii="Arial" w:hAnsi="Arial" w:cs="Arial"/>
          <w:sz w:val="17"/>
          <w:szCs w:val="17"/>
        </w:rPr>
        <w:t>.  The Professional shall be held responsible for ensuring compliance with those requirements by all Subcontractors.</w:t>
      </w:r>
    </w:p>
    <w:p w14:paraId="087ECD8F" w14:textId="77777777" w:rsidR="006906D5" w:rsidRPr="006E62ED" w:rsidRDefault="006906D5" w:rsidP="00F24EE9">
      <w:pPr>
        <w:tabs>
          <w:tab w:val="left" w:pos="1200"/>
          <w:tab w:val="left" w:pos="1560"/>
        </w:tabs>
        <w:jc w:val="both"/>
        <w:rPr>
          <w:rFonts w:ascii="Arial" w:hAnsi="Arial" w:cs="Arial"/>
          <w:sz w:val="17"/>
          <w:szCs w:val="17"/>
        </w:rPr>
      </w:pPr>
    </w:p>
    <w:p w14:paraId="03A0AA64" w14:textId="2FA691E2" w:rsidR="00F24EE9" w:rsidRPr="006E62ED" w:rsidRDefault="00F24EE9" w:rsidP="00F24EE9">
      <w:pPr>
        <w:tabs>
          <w:tab w:val="left" w:pos="1200"/>
          <w:tab w:val="left" w:pos="1560"/>
        </w:tabs>
        <w:jc w:val="both"/>
        <w:rPr>
          <w:rFonts w:ascii="Arial" w:hAnsi="Arial" w:cs="Arial"/>
          <w:sz w:val="17"/>
          <w:szCs w:val="17"/>
        </w:rPr>
      </w:pPr>
      <w:r w:rsidRPr="006E62ED">
        <w:rPr>
          <w:rFonts w:ascii="Arial" w:hAnsi="Arial" w:cs="Arial"/>
          <w:sz w:val="17"/>
          <w:szCs w:val="17"/>
        </w:rPr>
        <w:t>The Professional’s insurance coverage shall be primary (i.e., pay first) as respects any insurance, self-insurance or self-retention maintained by the Governments. Any insurance, self-insurance or self-retention maintained by the Governments shall be excess of the Professional’s ins</w:t>
      </w:r>
      <w:r w:rsidR="00583C35" w:rsidRPr="006E62ED">
        <w:rPr>
          <w:rFonts w:ascii="Arial" w:hAnsi="Arial" w:cs="Arial"/>
          <w:sz w:val="17"/>
          <w:szCs w:val="17"/>
        </w:rPr>
        <w:t xml:space="preserve">urance and shall not contribute </w:t>
      </w:r>
      <w:r w:rsidRPr="006E62ED">
        <w:rPr>
          <w:rFonts w:ascii="Arial" w:hAnsi="Arial" w:cs="Arial"/>
          <w:sz w:val="17"/>
          <w:szCs w:val="17"/>
        </w:rPr>
        <w:t xml:space="preserve">with it. </w:t>
      </w:r>
      <w:r w:rsidR="00041DB3" w:rsidRPr="006E62ED">
        <w:rPr>
          <w:rFonts w:ascii="Arial" w:hAnsi="Arial" w:cs="Arial"/>
          <w:sz w:val="17"/>
          <w:szCs w:val="17"/>
        </w:rPr>
        <w:t xml:space="preserve">The insolvency or bankruptcy of the insured Professional shall not release the insurer from payment under the policy, even when such insolvency or bankruptcy prevents the insured Professional from meeting the retention limit under the policy.  </w:t>
      </w:r>
      <w:r w:rsidRPr="006E62ED">
        <w:rPr>
          <w:rFonts w:ascii="Arial" w:hAnsi="Arial" w:cs="Arial"/>
          <w:sz w:val="17"/>
          <w:szCs w:val="17"/>
        </w:rPr>
        <w:t>The Professional’s insurance coverage shall be shared equally by the Professional and the Governments until the Professional’s insurance coverage is exhausted. Any deductible amount or oth</w:t>
      </w:r>
      <w:r w:rsidR="00A940FE" w:rsidRPr="006E62ED">
        <w:rPr>
          <w:rFonts w:ascii="Arial" w:hAnsi="Arial" w:cs="Arial"/>
          <w:sz w:val="17"/>
          <w:szCs w:val="17"/>
        </w:rPr>
        <w:t>er obligations under the policy</w:t>
      </w:r>
      <w:r w:rsidRPr="006E62ED">
        <w:rPr>
          <w:rFonts w:ascii="Arial" w:hAnsi="Arial" w:cs="Arial"/>
          <w:sz w:val="17"/>
          <w:szCs w:val="17"/>
        </w:rPr>
        <w:t>(ies) shall be the sole responsibility of the Professional. This insurance may be in policy or policies of insurance, primary and excess, including the so-called umbrella or catastrophe form and be placed with insurers rate</w:t>
      </w:r>
      <w:r w:rsidR="006D0FB0" w:rsidRPr="006E62ED">
        <w:rPr>
          <w:rFonts w:ascii="Arial" w:hAnsi="Arial" w:cs="Arial"/>
          <w:sz w:val="17"/>
          <w:szCs w:val="17"/>
        </w:rPr>
        <w:t>d</w:t>
      </w:r>
      <w:r w:rsidRPr="006E62ED">
        <w:rPr>
          <w:rFonts w:ascii="Arial" w:hAnsi="Arial" w:cs="Arial"/>
          <w:sz w:val="17"/>
          <w:szCs w:val="17"/>
        </w:rPr>
        <w:t xml:space="preserve"> “A</w:t>
      </w:r>
      <w:r w:rsidR="00B542EF" w:rsidRPr="006E62ED">
        <w:rPr>
          <w:rFonts w:ascii="Arial" w:hAnsi="Arial" w:cs="Arial"/>
          <w:sz w:val="17"/>
          <w:szCs w:val="17"/>
        </w:rPr>
        <w:t>-</w:t>
      </w:r>
      <w:r w:rsidRPr="006E62ED">
        <w:rPr>
          <w:rFonts w:ascii="Arial" w:hAnsi="Arial" w:cs="Arial"/>
          <w:sz w:val="17"/>
          <w:szCs w:val="17"/>
        </w:rPr>
        <w:t>” or better by A.M. Best Company,</w:t>
      </w:r>
      <w:r w:rsidR="00583C35" w:rsidRPr="006E62ED">
        <w:rPr>
          <w:rFonts w:ascii="Arial" w:hAnsi="Arial" w:cs="Arial"/>
          <w:sz w:val="17"/>
          <w:szCs w:val="17"/>
        </w:rPr>
        <w:t xml:space="preserve"> Inc. </w:t>
      </w:r>
      <w:r w:rsidRPr="006E62ED">
        <w:rPr>
          <w:rFonts w:ascii="Arial" w:hAnsi="Arial" w:cs="Arial"/>
          <w:sz w:val="17"/>
          <w:szCs w:val="17"/>
        </w:rPr>
        <w:t>The Governments will be indemnified, saved and held harmless to the full extent of any coverage actually secured by the Professional in excess of the minimum requirements set forth above.</w:t>
      </w:r>
    </w:p>
    <w:p w14:paraId="45B55DB9" w14:textId="77777777" w:rsidR="00F24EE9" w:rsidRPr="006E62ED" w:rsidRDefault="00F24EE9" w:rsidP="00F24EE9">
      <w:pPr>
        <w:tabs>
          <w:tab w:val="left" w:pos="1200"/>
          <w:tab w:val="left" w:pos="1560"/>
        </w:tabs>
        <w:jc w:val="both"/>
        <w:rPr>
          <w:rFonts w:ascii="Arial" w:hAnsi="Arial" w:cs="Arial"/>
          <w:sz w:val="17"/>
          <w:szCs w:val="17"/>
        </w:rPr>
      </w:pPr>
    </w:p>
    <w:p w14:paraId="59D9602A" w14:textId="77777777" w:rsidR="00F24EE9" w:rsidRPr="006E62ED" w:rsidRDefault="00F24EE9" w:rsidP="00F24EE9">
      <w:pPr>
        <w:tabs>
          <w:tab w:val="left" w:pos="1200"/>
          <w:tab w:val="left" w:pos="1560"/>
        </w:tabs>
        <w:jc w:val="both"/>
        <w:rPr>
          <w:rFonts w:ascii="Arial" w:hAnsi="Arial" w:cs="Arial"/>
          <w:b/>
          <w:sz w:val="17"/>
          <w:szCs w:val="17"/>
        </w:rPr>
      </w:pPr>
      <w:r w:rsidRPr="006E62ED">
        <w:rPr>
          <w:rFonts w:ascii="Arial" w:hAnsi="Arial" w:cs="Arial"/>
          <w:b/>
          <w:sz w:val="17"/>
          <w:szCs w:val="17"/>
        </w:rPr>
        <w:t>Required Professional Liability Insurance:</w:t>
      </w:r>
    </w:p>
    <w:p w14:paraId="034B22EC" w14:textId="70A6D761" w:rsidR="00B360EA" w:rsidRPr="006E62ED" w:rsidRDefault="00F24EE9" w:rsidP="002F51B2">
      <w:pPr>
        <w:tabs>
          <w:tab w:val="left" w:pos="1200"/>
          <w:tab w:val="left" w:pos="1560"/>
        </w:tabs>
        <w:jc w:val="both"/>
        <w:rPr>
          <w:rFonts w:ascii="Arial" w:hAnsi="Arial" w:cs="Arial"/>
          <w:sz w:val="17"/>
          <w:szCs w:val="17"/>
        </w:rPr>
      </w:pPr>
      <w:r w:rsidRPr="006E62ED">
        <w:rPr>
          <w:rFonts w:ascii="Arial" w:hAnsi="Arial" w:cs="Arial"/>
          <w:sz w:val="17"/>
          <w:szCs w:val="17"/>
        </w:rPr>
        <w:t xml:space="preserve">Professional shall secure and keep in force during the term of this agreement and for at least </w:t>
      </w:r>
      <w:r w:rsidR="00A940FE" w:rsidRPr="006E62ED">
        <w:rPr>
          <w:rFonts w:ascii="Arial" w:hAnsi="Arial" w:cs="Arial"/>
          <w:sz w:val="17"/>
          <w:szCs w:val="17"/>
        </w:rPr>
        <w:t>12 </w:t>
      </w:r>
      <w:r w:rsidRPr="006E62ED">
        <w:rPr>
          <w:rFonts w:ascii="Arial" w:hAnsi="Arial" w:cs="Arial"/>
          <w:sz w:val="17"/>
          <w:szCs w:val="17"/>
        </w:rPr>
        <w:t xml:space="preserve">months thereafter from an insurance company authorized to do business in North Dakota, professional liability insurance covering its liability for acts, errors, or omissions in providing or failing to provide professional services, with a minimum coverage limit of </w:t>
      </w:r>
      <w:r w:rsidRPr="00EC55CD">
        <w:rPr>
          <w:rFonts w:ascii="Arial" w:hAnsi="Arial" w:cs="Arial"/>
          <w:sz w:val="17"/>
          <w:szCs w:val="17"/>
        </w:rPr>
        <w:t>$</w:t>
      </w:r>
      <w:r w:rsidR="006C2BE3" w:rsidRPr="00EC55CD">
        <w:rPr>
          <w:rFonts w:ascii="Arial" w:hAnsi="Arial" w:cs="Arial"/>
          <w:sz w:val="17"/>
          <w:szCs w:val="17"/>
        </w:rPr>
        <w:t>2</w:t>
      </w:r>
      <w:r w:rsidR="00267E29" w:rsidRPr="00EC55CD">
        <w:rPr>
          <w:rFonts w:ascii="Arial" w:hAnsi="Arial" w:cs="Arial"/>
          <w:sz w:val="17"/>
          <w:szCs w:val="17"/>
        </w:rPr>
        <w:t>,0</w:t>
      </w:r>
      <w:r w:rsidRPr="00EC55CD">
        <w:rPr>
          <w:rFonts w:ascii="Arial" w:hAnsi="Arial" w:cs="Arial"/>
          <w:sz w:val="17"/>
          <w:szCs w:val="17"/>
        </w:rPr>
        <w:t>00,000</w:t>
      </w:r>
      <w:r w:rsidRPr="006E62ED">
        <w:rPr>
          <w:rFonts w:ascii="Arial" w:hAnsi="Arial" w:cs="Arial"/>
          <w:sz w:val="17"/>
          <w:szCs w:val="17"/>
        </w:rPr>
        <w:t xml:space="preserve"> per claim, </w:t>
      </w:r>
      <w:r w:rsidRPr="00EC55CD">
        <w:rPr>
          <w:rFonts w:ascii="Arial" w:hAnsi="Arial" w:cs="Arial"/>
          <w:sz w:val="17"/>
          <w:szCs w:val="17"/>
        </w:rPr>
        <w:t>$</w:t>
      </w:r>
      <w:r w:rsidR="006C2BE3" w:rsidRPr="00EC55CD">
        <w:rPr>
          <w:rFonts w:ascii="Arial" w:hAnsi="Arial" w:cs="Arial"/>
          <w:sz w:val="17"/>
          <w:szCs w:val="17"/>
        </w:rPr>
        <w:t>2</w:t>
      </w:r>
      <w:r w:rsidRPr="00EC55CD">
        <w:rPr>
          <w:rFonts w:ascii="Arial" w:hAnsi="Arial" w:cs="Arial"/>
          <w:sz w:val="17"/>
          <w:szCs w:val="17"/>
        </w:rPr>
        <w:t>,000,000</w:t>
      </w:r>
      <w:r w:rsidRPr="006E62ED">
        <w:rPr>
          <w:rFonts w:ascii="Arial" w:hAnsi="Arial" w:cs="Arial"/>
          <w:sz w:val="17"/>
          <w:szCs w:val="17"/>
        </w:rPr>
        <w:t xml:space="preserve"> aggregate</w:t>
      </w:r>
      <w:r w:rsidR="00A940FE" w:rsidRPr="006E62ED">
        <w:rPr>
          <w:rFonts w:ascii="Arial" w:hAnsi="Arial" w:cs="Arial"/>
          <w:sz w:val="17"/>
          <w:szCs w:val="17"/>
        </w:rPr>
        <w:t>.</w:t>
      </w:r>
      <w:r w:rsidR="00AE30A3" w:rsidRPr="006E62ED">
        <w:rPr>
          <w:rFonts w:ascii="Arial" w:hAnsi="Arial" w:cs="Arial"/>
          <w:sz w:val="17"/>
          <w:szCs w:val="17"/>
        </w:rPr>
        <w:t xml:space="preserve"> </w:t>
      </w:r>
    </w:p>
    <w:p w14:paraId="74876E47" w14:textId="77777777" w:rsidR="00B360EA" w:rsidRPr="006E62ED" w:rsidRDefault="00B360EA" w:rsidP="002F51B2">
      <w:pPr>
        <w:tabs>
          <w:tab w:val="left" w:pos="1200"/>
          <w:tab w:val="left" w:pos="1560"/>
        </w:tabs>
        <w:jc w:val="both"/>
        <w:rPr>
          <w:rFonts w:ascii="Arial" w:hAnsi="Arial" w:cs="Arial"/>
          <w:sz w:val="17"/>
          <w:szCs w:val="17"/>
        </w:rPr>
      </w:pPr>
    </w:p>
    <w:p w14:paraId="0A9EA2FE" w14:textId="77777777" w:rsidR="00C361E4" w:rsidRPr="006E62ED" w:rsidRDefault="00B360EA" w:rsidP="00C361E4">
      <w:pPr>
        <w:tabs>
          <w:tab w:val="left" w:pos="1200"/>
          <w:tab w:val="left" w:pos="1560"/>
        </w:tabs>
        <w:jc w:val="both"/>
        <w:rPr>
          <w:rFonts w:ascii="Arial" w:hAnsi="Arial" w:cs="Arial"/>
          <w:sz w:val="17"/>
          <w:szCs w:val="17"/>
        </w:rPr>
      </w:pPr>
      <w:r w:rsidRPr="006E62ED">
        <w:rPr>
          <w:rFonts w:ascii="Arial" w:hAnsi="Arial" w:cs="Arial"/>
          <w:sz w:val="17"/>
          <w:szCs w:val="17"/>
        </w:rPr>
        <w:t>Professional shall ensure that any Subcontractor providing professional services under the Contract is covered by professional liability insurance as outlined above.</w:t>
      </w:r>
      <w:r w:rsidR="00AE30A3" w:rsidRPr="006E62ED">
        <w:rPr>
          <w:rFonts w:ascii="Arial" w:hAnsi="Arial" w:cs="Arial"/>
          <w:sz w:val="17"/>
          <w:szCs w:val="17"/>
        </w:rPr>
        <w:t xml:space="preserve"> </w:t>
      </w:r>
    </w:p>
    <w:p w14:paraId="02DFA4CC" w14:textId="77777777" w:rsidR="00D85241" w:rsidRPr="006E62ED" w:rsidRDefault="00D85241" w:rsidP="00C361E4">
      <w:pPr>
        <w:tabs>
          <w:tab w:val="left" w:pos="1200"/>
          <w:tab w:val="left" w:pos="1560"/>
        </w:tabs>
        <w:jc w:val="right"/>
        <w:rPr>
          <w:rFonts w:ascii="Arial" w:hAnsi="Arial" w:cs="Arial"/>
          <w:sz w:val="17"/>
          <w:szCs w:val="17"/>
        </w:rPr>
      </w:pPr>
    </w:p>
    <w:p w14:paraId="58C1D444" w14:textId="77777777" w:rsidR="00F24EE9" w:rsidRPr="006E62ED" w:rsidRDefault="002740BA" w:rsidP="00D85241">
      <w:pPr>
        <w:tabs>
          <w:tab w:val="left" w:pos="1200"/>
          <w:tab w:val="left" w:pos="1560"/>
        </w:tabs>
        <w:jc w:val="right"/>
        <w:rPr>
          <w:rFonts w:ascii="Arial" w:hAnsi="Arial" w:cs="Arial"/>
          <w:sz w:val="17"/>
          <w:szCs w:val="17"/>
        </w:rPr>
      </w:pPr>
      <w:r w:rsidRPr="006E62ED">
        <w:rPr>
          <w:rFonts w:ascii="Arial" w:hAnsi="Arial" w:cs="Arial"/>
          <w:sz w:val="17"/>
          <w:szCs w:val="17"/>
        </w:rPr>
        <w:t xml:space="preserve">RM Consulted </w:t>
      </w:r>
      <w:r w:rsidR="00B360EA" w:rsidRPr="006E62ED">
        <w:rPr>
          <w:rFonts w:ascii="Arial" w:hAnsi="Arial" w:cs="Arial"/>
          <w:sz w:val="17"/>
          <w:szCs w:val="17"/>
        </w:rPr>
        <w:t>2013</w:t>
      </w:r>
    </w:p>
    <w:p w14:paraId="1EF90A5A" w14:textId="35532545" w:rsidR="00F24EE9" w:rsidRPr="006E62ED" w:rsidRDefault="00583C35" w:rsidP="006D0FB0">
      <w:pPr>
        <w:tabs>
          <w:tab w:val="left" w:pos="1200"/>
          <w:tab w:val="left" w:pos="1560"/>
        </w:tabs>
        <w:jc w:val="right"/>
        <w:rPr>
          <w:rFonts w:ascii="Arial" w:hAnsi="Arial" w:cs="Arial"/>
          <w:sz w:val="17"/>
          <w:szCs w:val="17"/>
        </w:rPr>
      </w:pPr>
      <w:r w:rsidRPr="006E62ED">
        <w:rPr>
          <w:rFonts w:ascii="Arial" w:hAnsi="Arial" w:cs="Arial"/>
          <w:sz w:val="17"/>
          <w:szCs w:val="17"/>
        </w:rPr>
        <w:t>Revise</w:t>
      </w:r>
      <w:r w:rsidR="009479A1" w:rsidRPr="006E62ED">
        <w:rPr>
          <w:rFonts w:ascii="Arial" w:hAnsi="Arial" w:cs="Arial"/>
          <w:sz w:val="17"/>
          <w:szCs w:val="17"/>
        </w:rPr>
        <w:t>d</w:t>
      </w:r>
      <w:r w:rsidRPr="006E62ED">
        <w:rPr>
          <w:rFonts w:ascii="Arial" w:hAnsi="Arial" w:cs="Arial"/>
          <w:sz w:val="17"/>
          <w:szCs w:val="17"/>
        </w:rPr>
        <w:t xml:space="preserve"> </w:t>
      </w:r>
      <w:r w:rsidR="003169A0">
        <w:rPr>
          <w:rFonts w:ascii="Arial" w:hAnsi="Arial" w:cs="Arial"/>
          <w:sz w:val="17"/>
          <w:szCs w:val="17"/>
        </w:rPr>
        <w:t>07-2</w:t>
      </w:r>
      <w:r w:rsidR="006C2BE3">
        <w:rPr>
          <w:rFonts w:ascii="Arial" w:hAnsi="Arial" w:cs="Arial"/>
          <w:sz w:val="17"/>
          <w:szCs w:val="17"/>
        </w:rPr>
        <w:t>3</w:t>
      </w:r>
    </w:p>
    <w:sectPr w:rsidR="00F24EE9" w:rsidRPr="006E62ED" w:rsidSect="00C361E4">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4E39" w14:textId="77777777" w:rsidR="009711FF" w:rsidRDefault="009711FF">
      <w:r>
        <w:separator/>
      </w:r>
    </w:p>
  </w:endnote>
  <w:endnote w:type="continuationSeparator" w:id="0">
    <w:p w14:paraId="3FB3CF9B" w14:textId="77777777" w:rsidR="009711FF" w:rsidRDefault="009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684E" w14:textId="77777777" w:rsidR="00057156" w:rsidRDefault="00057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0F5D" w14:textId="77777777" w:rsidR="00057156" w:rsidRDefault="00F70C7C">
    <w:pPr>
      <w:pStyle w:val="Footer"/>
    </w:pPr>
    <w:r>
      <w:rPr>
        <w:noProof/>
      </w:rPr>
      <w:drawing>
        <wp:inline distT="0" distB="0" distL="0" distR="0" wp14:anchorId="7FDC2163" wp14:editId="3AF9CCE0">
          <wp:extent cx="1647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watermark-heavy.jpg"/>
                  <pic:cNvPicPr/>
                </pic:nvPicPr>
                <pic:blipFill>
                  <a:blip r:embed="rId1">
                    <a:extLst>
                      <a:ext uri="{28A0092B-C50C-407E-A947-70E740481C1C}">
                        <a14:useLocalDpi xmlns:a14="http://schemas.microsoft.com/office/drawing/2010/main" val="0"/>
                      </a:ext>
                    </a:extLst>
                  </a:blip>
                  <a:stretch>
                    <a:fillRect/>
                  </a:stretch>
                </pic:blipFill>
                <pic:spPr>
                  <a:xfrm>
                    <a:off x="0" y="0"/>
                    <a:ext cx="1647825" cy="619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4560" w14:textId="77777777" w:rsidR="00057156" w:rsidRDefault="0005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C1E2" w14:textId="77777777" w:rsidR="009711FF" w:rsidRDefault="009711FF">
      <w:r>
        <w:separator/>
      </w:r>
    </w:p>
  </w:footnote>
  <w:footnote w:type="continuationSeparator" w:id="0">
    <w:p w14:paraId="67ED2F3A" w14:textId="77777777" w:rsidR="009711FF" w:rsidRDefault="0097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12D7" w14:textId="77777777" w:rsidR="00057156" w:rsidRDefault="00231006">
    <w:pPr>
      <w:pStyle w:val="Header"/>
    </w:pPr>
    <w:r>
      <w:rPr>
        <w:noProof/>
      </w:rPr>
      <w:pict w14:anchorId="4F831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611813" o:spid="_x0000_s1028" type="#_x0000_t75" style="position:absolute;margin-left:0;margin-top:0;width:539.9pt;height:547.25pt;z-index:-251657216;mso-position-horizontal:center;mso-position-horizontal-relative:margin;mso-position-vertical:center;mso-position-vertical-relative:margin" o:allowincell="f">
          <v:imagedata r:id="rId1" o:title="sample-watermark-heav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67399"/>
      <w:docPartObj>
        <w:docPartGallery w:val="Watermarks"/>
        <w:docPartUnique/>
      </w:docPartObj>
    </w:sdtPr>
    <w:sdtEndPr/>
    <w:sdtContent>
      <w:p w14:paraId="4EBD985F" w14:textId="77777777" w:rsidR="00F844C2" w:rsidRDefault="00231006">
        <w:pPr>
          <w:pStyle w:val="Header"/>
        </w:pPr>
        <w:r>
          <w:rPr>
            <w:noProof/>
          </w:rPr>
          <w:pict w14:anchorId="7429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611814" o:spid="_x0000_s1029" type="#_x0000_t75" style="position:absolute;margin-left:0;margin-top:0;width:539.9pt;height:547.25pt;z-index:-251656192;mso-position-horizontal:center;mso-position-horizontal-relative:margin;mso-position-vertical:center;mso-position-vertical-relative:margin" o:allowincell="f">
              <v:imagedata r:id="rId1" o:title="sample-watermark-heav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2CE4" w14:textId="77777777" w:rsidR="00057156" w:rsidRDefault="00231006">
    <w:pPr>
      <w:pStyle w:val="Header"/>
    </w:pPr>
    <w:r>
      <w:rPr>
        <w:noProof/>
      </w:rPr>
      <w:pict w14:anchorId="1C35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611812" o:spid="_x0000_s1027" type="#_x0000_t75" style="position:absolute;margin-left:0;margin-top:0;width:539.9pt;height:547.25pt;z-index:-251658240;mso-position-horizontal:center;mso-position-horizontal-relative:margin;mso-position-vertical:center;mso-position-vertical-relative:margin" o:allowincell="f">
          <v:imagedata r:id="rId1" o:title="sample-watermark-heav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535Uv5u05IQB+eA4pG1n5vZiijg=" w:salt="IEmxpdRZ+jW3LY2YiDcBWA=="/>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73"/>
    <w:rsid w:val="000075D0"/>
    <w:rsid w:val="000075D6"/>
    <w:rsid w:val="0001174C"/>
    <w:rsid w:val="00015DF2"/>
    <w:rsid w:val="00016F37"/>
    <w:rsid w:val="00017605"/>
    <w:rsid w:val="00025531"/>
    <w:rsid w:val="0003025F"/>
    <w:rsid w:val="00041DB3"/>
    <w:rsid w:val="00047B5B"/>
    <w:rsid w:val="000533A0"/>
    <w:rsid w:val="00057156"/>
    <w:rsid w:val="00070F47"/>
    <w:rsid w:val="000720B8"/>
    <w:rsid w:val="00076290"/>
    <w:rsid w:val="000812C9"/>
    <w:rsid w:val="0008347A"/>
    <w:rsid w:val="00086CEB"/>
    <w:rsid w:val="000948DE"/>
    <w:rsid w:val="00096AFC"/>
    <w:rsid w:val="000A1BF0"/>
    <w:rsid w:val="000A7B73"/>
    <w:rsid w:val="000B3E5C"/>
    <w:rsid w:val="000B4508"/>
    <w:rsid w:val="000D5D88"/>
    <w:rsid w:val="000E1C69"/>
    <w:rsid w:val="000F3FC1"/>
    <w:rsid w:val="00102DB4"/>
    <w:rsid w:val="001162B9"/>
    <w:rsid w:val="00122771"/>
    <w:rsid w:val="0012578E"/>
    <w:rsid w:val="00134241"/>
    <w:rsid w:val="00136E8B"/>
    <w:rsid w:val="0014534E"/>
    <w:rsid w:val="001504F0"/>
    <w:rsid w:val="001505FB"/>
    <w:rsid w:val="0015559D"/>
    <w:rsid w:val="001562B0"/>
    <w:rsid w:val="001570A9"/>
    <w:rsid w:val="00170E76"/>
    <w:rsid w:val="0017799E"/>
    <w:rsid w:val="0018127A"/>
    <w:rsid w:val="00185849"/>
    <w:rsid w:val="00187F73"/>
    <w:rsid w:val="0019140E"/>
    <w:rsid w:val="0019658F"/>
    <w:rsid w:val="001A11B4"/>
    <w:rsid w:val="001B424D"/>
    <w:rsid w:val="001C296C"/>
    <w:rsid w:val="001C47F0"/>
    <w:rsid w:val="001C6172"/>
    <w:rsid w:val="001C7458"/>
    <w:rsid w:val="001D6D98"/>
    <w:rsid w:val="001E0A2D"/>
    <w:rsid w:val="001E0B89"/>
    <w:rsid w:val="001E6806"/>
    <w:rsid w:val="00200370"/>
    <w:rsid w:val="00210ABB"/>
    <w:rsid w:val="00212DF7"/>
    <w:rsid w:val="002169D2"/>
    <w:rsid w:val="00231006"/>
    <w:rsid w:val="00232461"/>
    <w:rsid w:val="0023483C"/>
    <w:rsid w:val="00240962"/>
    <w:rsid w:val="00243545"/>
    <w:rsid w:val="002472A2"/>
    <w:rsid w:val="002516AF"/>
    <w:rsid w:val="002517A8"/>
    <w:rsid w:val="00267E29"/>
    <w:rsid w:val="002740BA"/>
    <w:rsid w:val="0028434E"/>
    <w:rsid w:val="00294673"/>
    <w:rsid w:val="00296570"/>
    <w:rsid w:val="002B497D"/>
    <w:rsid w:val="002D1BA4"/>
    <w:rsid w:val="002E1D98"/>
    <w:rsid w:val="002F19C5"/>
    <w:rsid w:val="002F1C0F"/>
    <w:rsid w:val="002F49E6"/>
    <w:rsid w:val="002F51B2"/>
    <w:rsid w:val="0030586E"/>
    <w:rsid w:val="0031021D"/>
    <w:rsid w:val="003169A0"/>
    <w:rsid w:val="0032080A"/>
    <w:rsid w:val="0032439E"/>
    <w:rsid w:val="00327CB8"/>
    <w:rsid w:val="00331CD3"/>
    <w:rsid w:val="00340D59"/>
    <w:rsid w:val="00341663"/>
    <w:rsid w:val="003529D3"/>
    <w:rsid w:val="00354D55"/>
    <w:rsid w:val="00357FDC"/>
    <w:rsid w:val="003601B4"/>
    <w:rsid w:val="00380159"/>
    <w:rsid w:val="003816BA"/>
    <w:rsid w:val="00382940"/>
    <w:rsid w:val="00382D42"/>
    <w:rsid w:val="00387A8A"/>
    <w:rsid w:val="003909D1"/>
    <w:rsid w:val="00393C03"/>
    <w:rsid w:val="003B5975"/>
    <w:rsid w:val="003C1D88"/>
    <w:rsid w:val="003C2ED7"/>
    <w:rsid w:val="003E2D05"/>
    <w:rsid w:val="003E3448"/>
    <w:rsid w:val="003E43BD"/>
    <w:rsid w:val="003E6999"/>
    <w:rsid w:val="00403377"/>
    <w:rsid w:val="00405931"/>
    <w:rsid w:val="004062E7"/>
    <w:rsid w:val="00415DB1"/>
    <w:rsid w:val="00417335"/>
    <w:rsid w:val="0042436F"/>
    <w:rsid w:val="0042722C"/>
    <w:rsid w:val="00442347"/>
    <w:rsid w:val="00442B08"/>
    <w:rsid w:val="0045448E"/>
    <w:rsid w:val="004835E6"/>
    <w:rsid w:val="0049116C"/>
    <w:rsid w:val="004A1385"/>
    <w:rsid w:val="004B7C57"/>
    <w:rsid w:val="004D2715"/>
    <w:rsid w:val="004D2D80"/>
    <w:rsid w:val="004D6F04"/>
    <w:rsid w:val="004E0656"/>
    <w:rsid w:val="004E7F59"/>
    <w:rsid w:val="004F6C53"/>
    <w:rsid w:val="004F7D01"/>
    <w:rsid w:val="0050491B"/>
    <w:rsid w:val="00504F6F"/>
    <w:rsid w:val="00506F47"/>
    <w:rsid w:val="00510403"/>
    <w:rsid w:val="00517236"/>
    <w:rsid w:val="005243EA"/>
    <w:rsid w:val="00534902"/>
    <w:rsid w:val="00541AE6"/>
    <w:rsid w:val="00543E16"/>
    <w:rsid w:val="00545CA9"/>
    <w:rsid w:val="0054699D"/>
    <w:rsid w:val="00550C44"/>
    <w:rsid w:val="00556229"/>
    <w:rsid w:val="00560419"/>
    <w:rsid w:val="0056221D"/>
    <w:rsid w:val="0057234F"/>
    <w:rsid w:val="005766D6"/>
    <w:rsid w:val="005833B7"/>
    <w:rsid w:val="00583C35"/>
    <w:rsid w:val="0058569C"/>
    <w:rsid w:val="00594FB3"/>
    <w:rsid w:val="005A1FEE"/>
    <w:rsid w:val="005A7041"/>
    <w:rsid w:val="005B666F"/>
    <w:rsid w:val="005C1018"/>
    <w:rsid w:val="005C4525"/>
    <w:rsid w:val="005D23F9"/>
    <w:rsid w:val="005D3232"/>
    <w:rsid w:val="005E0310"/>
    <w:rsid w:val="005E6315"/>
    <w:rsid w:val="005E7839"/>
    <w:rsid w:val="005F0714"/>
    <w:rsid w:val="005F0BAC"/>
    <w:rsid w:val="005F2C84"/>
    <w:rsid w:val="005F2FC7"/>
    <w:rsid w:val="00602658"/>
    <w:rsid w:val="00607F2D"/>
    <w:rsid w:val="006122A9"/>
    <w:rsid w:val="0063141E"/>
    <w:rsid w:val="006319F5"/>
    <w:rsid w:val="0063766F"/>
    <w:rsid w:val="006562F6"/>
    <w:rsid w:val="006578E9"/>
    <w:rsid w:val="00680F0A"/>
    <w:rsid w:val="006878C1"/>
    <w:rsid w:val="006906D5"/>
    <w:rsid w:val="00692979"/>
    <w:rsid w:val="006A00FF"/>
    <w:rsid w:val="006A17B3"/>
    <w:rsid w:val="006B046D"/>
    <w:rsid w:val="006B0C97"/>
    <w:rsid w:val="006C229A"/>
    <w:rsid w:val="006C2BE3"/>
    <w:rsid w:val="006D0FB0"/>
    <w:rsid w:val="006D2CDD"/>
    <w:rsid w:val="006E15FD"/>
    <w:rsid w:val="006E1A98"/>
    <w:rsid w:val="006E4F33"/>
    <w:rsid w:val="006E62ED"/>
    <w:rsid w:val="006F0506"/>
    <w:rsid w:val="00702C63"/>
    <w:rsid w:val="007031B0"/>
    <w:rsid w:val="00717196"/>
    <w:rsid w:val="00730274"/>
    <w:rsid w:val="0074644A"/>
    <w:rsid w:val="00754713"/>
    <w:rsid w:val="0075785F"/>
    <w:rsid w:val="00761A19"/>
    <w:rsid w:val="00770A43"/>
    <w:rsid w:val="00772888"/>
    <w:rsid w:val="0078244A"/>
    <w:rsid w:val="007861E3"/>
    <w:rsid w:val="00787BE2"/>
    <w:rsid w:val="0079133F"/>
    <w:rsid w:val="00791AAA"/>
    <w:rsid w:val="0079351C"/>
    <w:rsid w:val="007A6FE9"/>
    <w:rsid w:val="007A773C"/>
    <w:rsid w:val="007B2235"/>
    <w:rsid w:val="007C2343"/>
    <w:rsid w:val="007D132D"/>
    <w:rsid w:val="007D5827"/>
    <w:rsid w:val="007E549C"/>
    <w:rsid w:val="0080352F"/>
    <w:rsid w:val="008078A5"/>
    <w:rsid w:val="00826082"/>
    <w:rsid w:val="0083163E"/>
    <w:rsid w:val="00835142"/>
    <w:rsid w:val="00840A89"/>
    <w:rsid w:val="008413A4"/>
    <w:rsid w:val="00873AE7"/>
    <w:rsid w:val="008810C8"/>
    <w:rsid w:val="00887334"/>
    <w:rsid w:val="00890619"/>
    <w:rsid w:val="008925F2"/>
    <w:rsid w:val="008A380A"/>
    <w:rsid w:val="008B0F60"/>
    <w:rsid w:val="008B10C1"/>
    <w:rsid w:val="008C0E79"/>
    <w:rsid w:val="008C5F8E"/>
    <w:rsid w:val="008D06D1"/>
    <w:rsid w:val="008E6BDC"/>
    <w:rsid w:val="008F5A7A"/>
    <w:rsid w:val="00910B3D"/>
    <w:rsid w:val="00911D76"/>
    <w:rsid w:val="009205BC"/>
    <w:rsid w:val="00933B95"/>
    <w:rsid w:val="009412FE"/>
    <w:rsid w:val="00944FA3"/>
    <w:rsid w:val="00946934"/>
    <w:rsid w:val="009479A1"/>
    <w:rsid w:val="00952736"/>
    <w:rsid w:val="0096008A"/>
    <w:rsid w:val="00966835"/>
    <w:rsid w:val="00967236"/>
    <w:rsid w:val="009711FF"/>
    <w:rsid w:val="009770DB"/>
    <w:rsid w:val="00981C20"/>
    <w:rsid w:val="009910E2"/>
    <w:rsid w:val="009A0716"/>
    <w:rsid w:val="009B15AF"/>
    <w:rsid w:val="009B6C75"/>
    <w:rsid w:val="009B6CBB"/>
    <w:rsid w:val="009B7165"/>
    <w:rsid w:val="009B7E9A"/>
    <w:rsid w:val="009C7D15"/>
    <w:rsid w:val="009D1F66"/>
    <w:rsid w:val="009D34C8"/>
    <w:rsid w:val="009D4743"/>
    <w:rsid w:val="009D6CE7"/>
    <w:rsid w:val="009E281C"/>
    <w:rsid w:val="009F31C7"/>
    <w:rsid w:val="00A00220"/>
    <w:rsid w:val="00A00CB0"/>
    <w:rsid w:val="00A05300"/>
    <w:rsid w:val="00A07FF1"/>
    <w:rsid w:val="00A179F5"/>
    <w:rsid w:val="00A27A68"/>
    <w:rsid w:val="00A3032B"/>
    <w:rsid w:val="00A54D3F"/>
    <w:rsid w:val="00A60ACF"/>
    <w:rsid w:val="00A61CD1"/>
    <w:rsid w:val="00A65056"/>
    <w:rsid w:val="00A80435"/>
    <w:rsid w:val="00A86F82"/>
    <w:rsid w:val="00A87239"/>
    <w:rsid w:val="00A87BAC"/>
    <w:rsid w:val="00A87C6F"/>
    <w:rsid w:val="00A91E0E"/>
    <w:rsid w:val="00A9237B"/>
    <w:rsid w:val="00A940FE"/>
    <w:rsid w:val="00A95F65"/>
    <w:rsid w:val="00AA4902"/>
    <w:rsid w:val="00AA66C1"/>
    <w:rsid w:val="00AA7FDE"/>
    <w:rsid w:val="00AB02B6"/>
    <w:rsid w:val="00AB0453"/>
    <w:rsid w:val="00AB22B8"/>
    <w:rsid w:val="00AB2A08"/>
    <w:rsid w:val="00AB36D8"/>
    <w:rsid w:val="00AC4F1F"/>
    <w:rsid w:val="00AD6F73"/>
    <w:rsid w:val="00AE30A3"/>
    <w:rsid w:val="00AF1784"/>
    <w:rsid w:val="00B05348"/>
    <w:rsid w:val="00B10B40"/>
    <w:rsid w:val="00B1348A"/>
    <w:rsid w:val="00B14438"/>
    <w:rsid w:val="00B1685A"/>
    <w:rsid w:val="00B22AA3"/>
    <w:rsid w:val="00B234DB"/>
    <w:rsid w:val="00B25C55"/>
    <w:rsid w:val="00B277AE"/>
    <w:rsid w:val="00B33CFC"/>
    <w:rsid w:val="00B360EA"/>
    <w:rsid w:val="00B3654D"/>
    <w:rsid w:val="00B40B0C"/>
    <w:rsid w:val="00B41ABC"/>
    <w:rsid w:val="00B42174"/>
    <w:rsid w:val="00B42625"/>
    <w:rsid w:val="00B4632B"/>
    <w:rsid w:val="00B50F08"/>
    <w:rsid w:val="00B514C2"/>
    <w:rsid w:val="00B51A8F"/>
    <w:rsid w:val="00B51F20"/>
    <w:rsid w:val="00B542EF"/>
    <w:rsid w:val="00B5492E"/>
    <w:rsid w:val="00B609E9"/>
    <w:rsid w:val="00B614E8"/>
    <w:rsid w:val="00B61C44"/>
    <w:rsid w:val="00B6670E"/>
    <w:rsid w:val="00BA010D"/>
    <w:rsid w:val="00BB523B"/>
    <w:rsid w:val="00BB7D62"/>
    <w:rsid w:val="00BD311C"/>
    <w:rsid w:val="00BD6DA7"/>
    <w:rsid w:val="00BE14E2"/>
    <w:rsid w:val="00BE6E55"/>
    <w:rsid w:val="00BF3C1E"/>
    <w:rsid w:val="00C05C7D"/>
    <w:rsid w:val="00C074CB"/>
    <w:rsid w:val="00C2037D"/>
    <w:rsid w:val="00C22E74"/>
    <w:rsid w:val="00C26BEF"/>
    <w:rsid w:val="00C27AAF"/>
    <w:rsid w:val="00C361E4"/>
    <w:rsid w:val="00C3638D"/>
    <w:rsid w:val="00C367D4"/>
    <w:rsid w:val="00C37B95"/>
    <w:rsid w:val="00C44538"/>
    <w:rsid w:val="00C44B84"/>
    <w:rsid w:val="00C65B6A"/>
    <w:rsid w:val="00C665BE"/>
    <w:rsid w:val="00C86109"/>
    <w:rsid w:val="00C94CB3"/>
    <w:rsid w:val="00C97060"/>
    <w:rsid w:val="00C97CE0"/>
    <w:rsid w:val="00CA4366"/>
    <w:rsid w:val="00CA7E17"/>
    <w:rsid w:val="00CC43B1"/>
    <w:rsid w:val="00CD051A"/>
    <w:rsid w:val="00CD0919"/>
    <w:rsid w:val="00CE71B1"/>
    <w:rsid w:val="00CF17B8"/>
    <w:rsid w:val="00CF217C"/>
    <w:rsid w:val="00CF2463"/>
    <w:rsid w:val="00CF269B"/>
    <w:rsid w:val="00CF4E73"/>
    <w:rsid w:val="00CF5B93"/>
    <w:rsid w:val="00D01DDB"/>
    <w:rsid w:val="00D10652"/>
    <w:rsid w:val="00D201DB"/>
    <w:rsid w:val="00D24373"/>
    <w:rsid w:val="00D26392"/>
    <w:rsid w:val="00D33782"/>
    <w:rsid w:val="00D337AC"/>
    <w:rsid w:val="00D44CB0"/>
    <w:rsid w:val="00D44EDF"/>
    <w:rsid w:val="00D47EC8"/>
    <w:rsid w:val="00D5594F"/>
    <w:rsid w:val="00D67711"/>
    <w:rsid w:val="00D7041D"/>
    <w:rsid w:val="00D774BE"/>
    <w:rsid w:val="00D85241"/>
    <w:rsid w:val="00D868C7"/>
    <w:rsid w:val="00DA1F8B"/>
    <w:rsid w:val="00DA2DF8"/>
    <w:rsid w:val="00DB3DE2"/>
    <w:rsid w:val="00DC1F4C"/>
    <w:rsid w:val="00DD4477"/>
    <w:rsid w:val="00DD60BC"/>
    <w:rsid w:val="00DE019B"/>
    <w:rsid w:val="00DE49C6"/>
    <w:rsid w:val="00DE5150"/>
    <w:rsid w:val="00E10494"/>
    <w:rsid w:val="00E15690"/>
    <w:rsid w:val="00E2337B"/>
    <w:rsid w:val="00E351C0"/>
    <w:rsid w:val="00E36C29"/>
    <w:rsid w:val="00E40EE3"/>
    <w:rsid w:val="00E448D9"/>
    <w:rsid w:val="00E5112A"/>
    <w:rsid w:val="00E62A6D"/>
    <w:rsid w:val="00E724D5"/>
    <w:rsid w:val="00E76A14"/>
    <w:rsid w:val="00E77FC1"/>
    <w:rsid w:val="00E85288"/>
    <w:rsid w:val="00E91958"/>
    <w:rsid w:val="00E93C0F"/>
    <w:rsid w:val="00E94B34"/>
    <w:rsid w:val="00E965E7"/>
    <w:rsid w:val="00EB3114"/>
    <w:rsid w:val="00EB6A14"/>
    <w:rsid w:val="00EC0ACC"/>
    <w:rsid w:val="00EC55CD"/>
    <w:rsid w:val="00ED0698"/>
    <w:rsid w:val="00ED3BB8"/>
    <w:rsid w:val="00EE0FEE"/>
    <w:rsid w:val="00EE40C7"/>
    <w:rsid w:val="00EF31E3"/>
    <w:rsid w:val="00EF597A"/>
    <w:rsid w:val="00F046B2"/>
    <w:rsid w:val="00F04FAE"/>
    <w:rsid w:val="00F13042"/>
    <w:rsid w:val="00F14189"/>
    <w:rsid w:val="00F20F0E"/>
    <w:rsid w:val="00F24EE9"/>
    <w:rsid w:val="00F3126E"/>
    <w:rsid w:val="00F33FB1"/>
    <w:rsid w:val="00F35C11"/>
    <w:rsid w:val="00F47ECE"/>
    <w:rsid w:val="00F54E4D"/>
    <w:rsid w:val="00F56FEE"/>
    <w:rsid w:val="00F60DF1"/>
    <w:rsid w:val="00F61777"/>
    <w:rsid w:val="00F61B07"/>
    <w:rsid w:val="00F64E64"/>
    <w:rsid w:val="00F65174"/>
    <w:rsid w:val="00F657E5"/>
    <w:rsid w:val="00F663D9"/>
    <w:rsid w:val="00F708BB"/>
    <w:rsid w:val="00F70C7C"/>
    <w:rsid w:val="00F736FF"/>
    <w:rsid w:val="00F73FDD"/>
    <w:rsid w:val="00F74F32"/>
    <w:rsid w:val="00F80797"/>
    <w:rsid w:val="00F83385"/>
    <w:rsid w:val="00F84479"/>
    <w:rsid w:val="00F844C2"/>
    <w:rsid w:val="00F901FF"/>
    <w:rsid w:val="00FA30D8"/>
    <w:rsid w:val="00FC518B"/>
    <w:rsid w:val="00FF35C9"/>
    <w:rsid w:val="00FF36F4"/>
    <w:rsid w:val="00FF4AC9"/>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50C4D"/>
  <w15:docId w15:val="{FC966EE4-E981-4948-A72D-88F3F00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042"/>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6D5"/>
    <w:rPr>
      <w:rFonts w:ascii="Tahoma" w:hAnsi="Tahoma" w:cs="Tahoma"/>
      <w:sz w:val="16"/>
      <w:szCs w:val="16"/>
    </w:rPr>
  </w:style>
  <w:style w:type="paragraph" w:styleId="Header">
    <w:name w:val="header"/>
    <w:basedOn w:val="Normal"/>
    <w:rsid w:val="00981C20"/>
    <w:pPr>
      <w:tabs>
        <w:tab w:val="center" w:pos="4320"/>
        <w:tab w:val="right" w:pos="8640"/>
      </w:tabs>
    </w:pPr>
  </w:style>
  <w:style w:type="paragraph" w:styleId="Footer">
    <w:name w:val="footer"/>
    <w:basedOn w:val="Normal"/>
    <w:rsid w:val="00981C20"/>
    <w:pPr>
      <w:tabs>
        <w:tab w:val="center" w:pos="4320"/>
        <w:tab w:val="right" w:pos="8640"/>
      </w:tabs>
    </w:pPr>
  </w:style>
  <w:style w:type="character" w:customStyle="1" w:styleId="a">
    <w:name w:val="ÀÀ"/>
    <w:basedOn w:val="DefaultParagraphFont"/>
    <w:rsid w:val="0044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B2C2-C488-45D0-981F-6883A9AC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895</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Risk Management Appendix</vt:lpstr>
    </vt:vector>
  </TitlesOfParts>
  <Company>NDDOT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Appendix</dc:title>
  <dc:creator>Daniel C Pierce</dc:creator>
  <cp:lastModifiedBy>Marohl, Sengaroun</cp:lastModifiedBy>
  <cp:revision>2</cp:revision>
  <cp:lastPrinted>2022-06-27T13:53:00Z</cp:lastPrinted>
  <dcterms:created xsi:type="dcterms:W3CDTF">2024-04-29T13:22:00Z</dcterms:created>
  <dcterms:modified xsi:type="dcterms:W3CDTF">2024-04-29T13:22:00Z</dcterms:modified>
</cp:coreProperties>
</file>